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365454" w:rsidP="00C359F8">
      <w:pPr>
        <w:pStyle w:val="1"/>
        <w:numPr>
          <w:ilvl w:val="0"/>
          <w:numId w:val="0"/>
        </w:numPr>
        <w:spacing w:before="312" w:after="312"/>
      </w:pPr>
      <w:r>
        <w:rPr>
          <w:rFonts w:hint="eastAsia"/>
        </w:rPr>
        <w:t>面向智能驾驶的多传感器数据</w:t>
      </w:r>
      <w:r w:rsidR="00D26DB9">
        <w:rPr>
          <w:rFonts w:hint="eastAsia"/>
        </w:rPr>
        <w:t>感知</w:t>
      </w:r>
      <w:r>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FE336E">
        <w:rPr>
          <w:rFonts w:hint="eastAsia"/>
        </w:rPr>
        <w:t>图</w:t>
      </w:r>
      <w:r w:rsidR="00FE336E">
        <w:rPr>
          <w:rFonts w:hint="eastAsia"/>
        </w:rPr>
        <w:t xml:space="preserve"> </w:t>
      </w:r>
      <w:r w:rsidR="00FE336E">
        <w:rPr>
          <w:noProof/>
        </w:rPr>
        <w:t>1</w:t>
      </w:r>
      <w:r w:rsidR="00FE336E">
        <w:t>.</w:t>
      </w:r>
      <w:r w:rsidR="00FE336E">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864F44">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FE336E" w:rsidRPr="00FE336E" w:rsidRDefault="00FE336E" w:rsidP="00FE336E">
      <w:pPr>
        <w:pStyle w:val="ac"/>
      </w:pPr>
      <w:r w:rsidRPr="00241DE6">
        <w:rPr>
          <w:noProof/>
        </w:rPr>
        <w:drawing>
          <wp:inline distT="0" distB="0" distL="0" distR="0" wp14:anchorId="747AD5C0" wp14:editId="27672801">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FE336E" w:rsidRDefault="00FE336E" w:rsidP="00FE336E">
      <w:pPr>
        <w:pStyle w:val="ac"/>
      </w:pPr>
      <w:bookmarkStart w:id="0" w:name="_Ref12729804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0"/>
      <w:r>
        <w:t xml:space="preserve"> </w:t>
      </w:r>
      <w:r>
        <w:rPr>
          <w:rFonts w:hint="eastAsia"/>
        </w:rPr>
        <w:t>近五年机动车驾驶人数变化</w:t>
      </w:r>
    </w:p>
    <w:p w:rsidR="00FE336E" w:rsidRPr="003B2EC7" w:rsidRDefault="00FE336E" w:rsidP="00FE336E">
      <w:pPr>
        <w:pStyle w:val="ac"/>
        <w:rPr>
          <w:rFonts w:hint="eastAsia"/>
        </w:rPr>
      </w:pPr>
      <w:r>
        <w:t xml:space="preserve">Fig </w:t>
      </w:r>
      <w:r>
        <w:fldChar w:fldCharType="begin"/>
      </w:r>
      <w:r>
        <w:instrText xml:space="preserve"> STYLEREF 1 \s </w:instrText>
      </w:r>
      <w:r>
        <w:fldChar w:fldCharType="separate"/>
      </w:r>
      <w:r>
        <w:rPr>
          <w:noProof/>
        </w:rPr>
        <w:t>1</w:t>
      </w:r>
      <w:r>
        <w:fldChar w:fldCharType="end"/>
      </w:r>
      <w:r>
        <w:t>.</w:t>
      </w:r>
      <w:r>
        <w:fldChar w:fldCharType="begin"/>
      </w:r>
      <w:r>
        <w:instrText xml:space="preserve"> SEQ Fig \* ARABIC \s 1 </w:instrText>
      </w:r>
      <w:r>
        <w:fldChar w:fldCharType="separate"/>
      </w:r>
      <w:r>
        <w:rPr>
          <w:noProof/>
        </w:rPr>
        <w:t>1</w:t>
      </w:r>
      <w:r>
        <w:fldChar w:fldCharType="end"/>
      </w:r>
      <w:r>
        <w:t xml:space="preserve"> </w:t>
      </w:r>
      <w:r w:rsidRPr="00F4508D">
        <w:t>Changes in the number of motor vehicles and drivers in the past five years</w:t>
      </w:r>
    </w:p>
    <w:p w:rsidR="00F60AC0" w:rsidRDefault="00F60AC0" w:rsidP="00F60AC0">
      <w:pPr>
        <w:pStyle w:val="a7"/>
        <w:ind w:firstLine="480"/>
        <w:jc w:val="left"/>
        <w:rPr>
          <w:rFonts w:hint="eastAsia"/>
        </w:rPr>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Abdallah Moujahi</w:t>
      </w:r>
      <w:r w:rsidR="00696C78">
        <w:rPr>
          <w:rFonts w:hint="eastAsia"/>
        </w:rPr>
        <w:t>d</w:t>
      </w:r>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rdan Tunnell</w:t>
      </w:r>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年的丰田普锐斯作为模型，结合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r w:rsidR="00696C78">
        <w:rPr>
          <w:rFonts w:hint="eastAsia"/>
        </w:rPr>
        <w:t>ADAS</w:t>
      </w:r>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r w:rsidR="005A26F3" w:rsidRPr="005A26F3">
        <w:t>Ibrar Yaqoob</w:t>
      </w:r>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r w:rsidR="001B3157" w:rsidRPr="001B3157">
        <w:rPr>
          <w:rFonts w:hint="eastAsia"/>
        </w:rPr>
        <w:t>杨贵栋</w:t>
      </w:r>
      <w:r w:rsidR="001B3157">
        <w:rPr>
          <w:rFonts w:hint="eastAsia"/>
        </w:rPr>
        <w:t>等人在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r w:rsidR="00E46B56">
        <w:rPr>
          <w:rFonts w:hint="eastAsia"/>
        </w:rPr>
        <w:t>陈</w:t>
      </w:r>
      <w:r w:rsidR="00E46B56" w:rsidRPr="00E46B56">
        <w:rPr>
          <w:rFonts w:hint="eastAsia"/>
        </w:rPr>
        <w:t>锦栋</w:t>
      </w:r>
      <w:r w:rsidR="00E46B56">
        <w:rPr>
          <w:rFonts w:hint="eastAsia"/>
        </w:rPr>
        <w:t>在</w:t>
      </w:r>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r>
        <w:rPr>
          <w:rFonts w:hint="eastAsia"/>
        </w:rPr>
        <w:t>角点检测方法提取目标角点，继而对目标进行跟踪预测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Muhammad Qasim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再提出均匀保距的特征点提取算法</w:t>
      </w:r>
      <w:r w:rsidR="001B42CF" w:rsidRPr="00800AFC">
        <w:rPr>
          <w:rFonts w:hint="eastAsia"/>
        </w:rPr>
        <w:t>RSD,</w:t>
      </w:r>
      <w:r w:rsidR="001B42CF" w:rsidRPr="00800AFC">
        <w:rPr>
          <w:rFonts w:hint="eastAsia"/>
        </w:rPr>
        <w:t>减少三维点云计算与三角剖分耗时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年提出了一套用车辆与邻近环境中其他物体能够协作通信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Muhammad Sualeh</w:t>
      </w:r>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网格的聚类技术来检测高架结构下的物体。使用交互式多模型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r w:rsidR="006C4FEE" w:rsidRPr="006C4FEE">
        <w:t>Elif Aksu Taşdelen</w:t>
      </w:r>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Atsushi Kanno</w:t>
      </w:r>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r w:rsidR="00041D77" w:rsidRPr="00041D77">
        <w:t>Uttam K. Majumder</w:t>
      </w:r>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r w:rsidR="00373961">
        <w:rPr>
          <w:rFonts w:hint="eastAsia"/>
        </w:rPr>
        <w:t>王章靖等人在</w:t>
      </w:r>
      <w:r w:rsidR="00373961">
        <w:rPr>
          <w:rFonts w:hint="eastAsia"/>
        </w:rPr>
        <w:t>2</w:t>
      </w:r>
      <w:r w:rsidR="00373961">
        <w:t>021</w:t>
      </w:r>
      <w:r w:rsidR="00373961">
        <w:rPr>
          <w:rFonts w:hint="eastAsia"/>
        </w:rPr>
        <w:t>年提出了一种基于毫米波雷达和相机融合的的鲁棒性目标检测和分类算法，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rPr>
          <w:rFonts w:hint="eastAsia"/>
        </w:rPr>
      </w:pPr>
      <w:r>
        <w:rPr>
          <w:rFonts w:hint="eastAsia"/>
        </w:rPr>
        <w:t>本文主要面向智能驾驶领域，从传感器的感知与融合角度出发，</w:t>
      </w:r>
      <w:r w:rsidR="00E60F39">
        <w:rPr>
          <w:rFonts w:hint="eastAsia"/>
        </w:rPr>
        <w:t>以重庆大学</w:t>
      </w:r>
      <w:r w:rsidR="00E60F39">
        <w:rPr>
          <w:rFonts w:hint="eastAsia"/>
        </w:rPr>
        <w:t>A</w:t>
      </w:r>
      <w:r w:rsidR="00E60F39">
        <w:rPr>
          <w:rFonts w:hint="eastAsia"/>
        </w:rPr>
        <w:t>区校内巴士部分运行路线作为数据采集点</w:t>
      </w:r>
      <w:r w:rsidR="00D74BC1">
        <w:rPr>
          <w:rFonts w:hint="eastAsia"/>
        </w:rPr>
        <w:t>。</w:t>
      </w:r>
    </w:p>
    <w:p w:rsidR="005D353E" w:rsidRPr="005D353E" w:rsidRDefault="005D353E" w:rsidP="005D353E">
      <w:pPr>
        <w:pStyle w:val="3"/>
        <w:sectPr w:rsidR="005D353E" w:rsidRPr="005D353E" w:rsidSect="003063EE">
          <w:pgSz w:w="11906" w:h="16838" w:code="9"/>
          <w:pgMar w:top="1701" w:right="1418" w:bottom="1418" w:left="1418" w:header="907" w:footer="851" w:gutter="567"/>
          <w:cols w:space="425"/>
          <w:docGrid w:type="lines" w:linePitch="312"/>
        </w:sectPr>
      </w:pPr>
      <w:r>
        <w:rPr>
          <w:rFonts w:hint="eastAsia"/>
        </w:rPr>
        <w:t>论文的组织结构</w:t>
      </w:r>
      <w:bookmarkStart w:id="1" w:name="_GoBack"/>
      <w:bookmarkEnd w:id="1"/>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2" w:name="_Ref126419665"/>
      <w:r w:rsidRPr="00140416">
        <w:rPr>
          <w:rFonts w:ascii="宋体" w:hAnsi="宋体" w:hint="eastAsia"/>
          <w:sz w:val="21"/>
          <w:szCs w:val="21"/>
        </w:rPr>
        <w:t>哈全财. 城市机动车道路拥堵治理方案研究[J]. 科技传播, 2013(1):2.</w:t>
      </w:r>
      <w:bookmarkEnd w:id="2"/>
    </w:p>
    <w:p w:rsidR="00140416" w:rsidRPr="00140416" w:rsidRDefault="00140416" w:rsidP="00140416">
      <w:pPr>
        <w:pStyle w:val="aa"/>
        <w:numPr>
          <w:ilvl w:val="0"/>
          <w:numId w:val="2"/>
        </w:numPr>
        <w:rPr>
          <w:rFonts w:ascii="宋体" w:hAnsi="宋体"/>
          <w:sz w:val="21"/>
          <w:szCs w:val="21"/>
        </w:rPr>
      </w:pPr>
      <w:bookmarkStart w:id="3" w:name="_Ref126419678"/>
      <w:r w:rsidRPr="00140416">
        <w:rPr>
          <w:rFonts w:ascii="宋体" w:hAnsi="宋体" w:hint="eastAsia"/>
          <w:sz w:val="21"/>
          <w:szCs w:val="21"/>
        </w:rPr>
        <w:t>李克强. 智能网联汽车的发展现状与对策建议[J]. 机器人产业, 2020(6):8.</w:t>
      </w:r>
      <w:bookmarkEnd w:id="3"/>
    </w:p>
    <w:p w:rsidR="00140416" w:rsidRDefault="00140416" w:rsidP="00140416">
      <w:pPr>
        <w:pStyle w:val="aa"/>
        <w:numPr>
          <w:ilvl w:val="0"/>
          <w:numId w:val="2"/>
        </w:numPr>
        <w:rPr>
          <w:rFonts w:ascii="宋体" w:hAnsi="宋体"/>
          <w:sz w:val="21"/>
          <w:szCs w:val="21"/>
        </w:rPr>
      </w:pPr>
      <w:bookmarkStart w:id="4" w:name="_Ref126419694"/>
      <w:r w:rsidRPr="00140416">
        <w:rPr>
          <w:rFonts w:ascii="宋体" w:hAnsi="宋体" w:hint="eastAsia"/>
          <w:sz w:val="21"/>
          <w:szCs w:val="21"/>
        </w:rPr>
        <w:t>黄思源, 刘利民, 董健,等. 车载激光雷达点云数据地面滤波算法综述[J]. 光电工程, 2020, 47(12):12.</w:t>
      </w:r>
      <w:bookmarkEnd w:id="4"/>
    </w:p>
    <w:p w:rsidR="00696C78" w:rsidRDefault="00696C78" w:rsidP="00696C78">
      <w:pPr>
        <w:pStyle w:val="aa"/>
        <w:numPr>
          <w:ilvl w:val="0"/>
          <w:numId w:val="2"/>
        </w:numPr>
        <w:rPr>
          <w:rFonts w:ascii="宋体" w:hAnsi="宋体"/>
          <w:sz w:val="21"/>
          <w:szCs w:val="21"/>
        </w:rPr>
      </w:pPr>
      <w:bookmarkStart w:id="5"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5"/>
    </w:p>
    <w:p w:rsidR="00696C78" w:rsidRDefault="00696C78" w:rsidP="00696C78">
      <w:pPr>
        <w:pStyle w:val="aa"/>
        <w:numPr>
          <w:ilvl w:val="0"/>
          <w:numId w:val="2"/>
        </w:numPr>
        <w:rPr>
          <w:rFonts w:ascii="宋体" w:hAnsi="宋体"/>
          <w:sz w:val="21"/>
          <w:szCs w:val="21"/>
        </w:rPr>
      </w:pPr>
      <w:bookmarkStart w:id="6"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6"/>
    </w:p>
    <w:p w:rsidR="005A26F3" w:rsidRDefault="005A26F3" w:rsidP="005A26F3">
      <w:pPr>
        <w:pStyle w:val="aa"/>
        <w:numPr>
          <w:ilvl w:val="0"/>
          <w:numId w:val="2"/>
        </w:numPr>
        <w:rPr>
          <w:rFonts w:ascii="宋体" w:hAnsi="宋体"/>
          <w:sz w:val="21"/>
          <w:szCs w:val="21"/>
        </w:rPr>
      </w:pPr>
      <w:bookmarkStart w:id="7" w:name="_Ref127211885"/>
      <w:r w:rsidRPr="005A26F3">
        <w:rPr>
          <w:rFonts w:ascii="宋体" w:hAnsi="宋体"/>
          <w:sz w:val="21"/>
          <w:szCs w:val="21"/>
        </w:rPr>
        <w:t>Yaqoob I, Khan L U, Kazmi S M A, et al. Autonomous driving cars in smart cities: Recent advances, requirements, and challenges[J]. IEEE Network, 2019, 34(1): 174-181.</w:t>
      </w:r>
      <w:bookmarkEnd w:id="7"/>
    </w:p>
    <w:p w:rsidR="00EF60A9" w:rsidRDefault="00EF60A9" w:rsidP="00EF60A9">
      <w:pPr>
        <w:pStyle w:val="aa"/>
        <w:numPr>
          <w:ilvl w:val="0"/>
          <w:numId w:val="2"/>
        </w:numPr>
        <w:rPr>
          <w:rFonts w:ascii="宋体" w:hAnsi="宋体"/>
          <w:sz w:val="21"/>
          <w:szCs w:val="21"/>
        </w:rPr>
      </w:pPr>
      <w:bookmarkStart w:id="8" w:name="_Ref127194858"/>
      <w:r w:rsidRPr="00EF60A9">
        <w:rPr>
          <w:rFonts w:ascii="宋体" w:hAnsi="宋体" w:hint="eastAsia"/>
          <w:sz w:val="21"/>
          <w:szCs w:val="21"/>
        </w:rPr>
        <w:t>蔡自兴.智能驾驶技术研究的重要进展[J].机器人技术与应用,2019,0(3):37-39</w:t>
      </w:r>
      <w:bookmarkEnd w:id="8"/>
    </w:p>
    <w:p w:rsidR="001B3157" w:rsidRDefault="001B3157" w:rsidP="001B3157">
      <w:pPr>
        <w:pStyle w:val="aa"/>
        <w:numPr>
          <w:ilvl w:val="0"/>
          <w:numId w:val="2"/>
        </w:numPr>
        <w:rPr>
          <w:rFonts w:ascii="宋体" w:hAnsi="宋体"/>
          <w:sz w:val="21"/>
          <w:szCs w:val="21"/>
        </w:rPr>
      </w:pPr>
      <w:bookmarkStart w:id="9" w:name="_Ref127208889"/>
      <w:r w:rsidRPr="001B3157">
        <w:rPr>
          <w:rFonts w:ascii="宋体" w:hAnsi="宋体" w:hint="eastAsia"/>
          <w:sz w:val="21"/>
          <w:szCs w:val="21"/>
        </w:rPr>
        <w:t>杨贵栋,张帅乾,王亚飞,籍庆辉,郑欲锋.智能驾驶汽车驾乘舒适性测评方法研究综述[J].上海汽车,2019(08):13-21.</w:t>
      </w:r>
      <w:bookmarkEnd w:id="9"/>
    </w:p>
    <w:p w:rsidR="00E46B56" w:rsidRDefault="00E46B56" w:rsidP="00E46B56">
      <w:pPr>
        <w:pStyle w:val="aa"/>
        <w:numPr>
          <w:ilvl w:val="0"/>
          <w:numId w:val="2"/>
        </w:numPr>
        <w:rPr>
          <w:rFonts w:ascii="宋体" w:hAnsi="宋体"/>
          <w:sz w:val="21"/>
          <w:szCs w:val="21"/>
        </w:rPr>
      </w:pPr>
      <w:bookmarkStart w:id="10" w:name="_Ref127212630"/>
      <w:r w:rsidRPr="00E46B56">
        <w:rPr>
          <w:rFonts w:ascii="宋体" w:hAnsi="宋体" w:hint="eastAsia"/>
          <w:sz w:val="21"/>
          <w:szCs w:val="21"/>
        </w:rPr>
        <w:t>陈锦栋. 浅析智能驾驶及其关键技术[J]. 中国科技纵横,2020(23):23-24,59.</w:t>
      </w:r>
      <w:bookmarkEnd w:id="10"/>
    </w:p>
    <w:p w:rsidR="00FA66A7" w:rsidRDefault="00FA66A7" w:rsidP="00FA66A7">
      <w:pPr>
        <w:pStyle w:val="aa"/>
        <w:numPr>
          <w:ilvl w:val="0"/>
          <w:numId w:val="2"/>
        </w:numPr>
        <w:rPr>
          <w:rFonts w:ascii="宋体" w:hAnsi="宋体"/>
          <w:sz w:val="21"/>
          <w:szCs w:val="21"/>
        </w:rPr>
      </w:pPr>
      <w:bookmarkStart w:id="11" w:name="_Ref127213321"/>
      <w:r w:rsidRPr="00FA66A7">
        <w:rPr>
          <w:rFonts w:ascii="宋体" w:hAnsi="宋体"/>
          <w:sz w:val="21"/>
          <w:szCs w:val="21"/>
        </w:rPr>
        <w:t>Rojas-Rueda D, Nieuwenhuijsen M J, Khreis H, et al. Autonomous vehicles and public health[J]. Annual review of public health, 2020, 41(1): 329-345.</w:t>
      </w:r>
      <w:bookmarkEnd w:id="11"/>
    </w:p>
    <w:p w:rsidR="001B42CF" w:rsidRDefault="001B42CF" w:rsidP="001B42CF">
      <w:pPr>
        <w:pStyle w:val="aa"/>
        <w:numPr>
          <w:ilvl w:val="0"/>
          <w:numId w:val="2"/>
        </w:numPr>
        <w:rPr>
          <w:rFonts w:ascii="宋体" w:hAnsi="宋体"/>
          <w:sz w:val="21"/>
          <w:szCs w:val="21"/>
        </w:rPr>
      </w:pPr>
      <w:bookmarkStart w:id="12" w:name="_Ref126438889"/>
      <w:r w:rsidRPr="008F21EE">
        <w:rPr>
          <w:rFonts w:ascii="宋体" w:hAnsi="宋体" w:hint="eastAsia"/>
          <w:sz w:val="21"/>
          <w:szCs w:val="21"/>
        </w:rPr>
        <w:t>黄窈蕙.智能驾驶汽车视觉图像处理技术[J].公路交通科技：应用技术版,2018,0(8):323-326</w:t>
      </w:r>
      <w:bookmarkEnd w:id="12"/>
    </w:p>
    <w:p w:rsidR="001B42CF" w:rsidRPr="001B42CF" w:rsidRDefault="001B42CF" w:rsidP="001B42CF">
      <w:pPr>
        <w:pStyle w:val="aa"/>
        <w:numPr>
          <w:ilvl w:val="0"/>
          <w:numId w:val="2"/>
        </w:numPr>
        <w:rPr>
          <w:rFonts w:ascii="宋体" w:hAnsi="宋体"/>
          <w:sz w:val="21"/>
          <w:szCs w:val="21"/>
        </w:rPr>
      </w:pPr>
      <w:bookmarkStart w:id="13" w:name="_Ref126444278"/>
      <w:r w:rsidRPr="00937F0C">
        <w:rPr>
          <w:rFonts w:ascii="宋体" w:hAnsi="宋体" w:hint="eastAsia"/>
          <w:sz w:val="21"/>
          <w:szCs w:val="21"/>
        </w:rPr>
        <w:t>张晶晶,杨鹏,刘元盛,梁军.基于智能驾驶的动态目标跟踪研究[J].计算机工程,2018,44(7):14-19</w:t>
      </w:r>
      <w:bookmarkEnd w:id="13"/>
    </w:p>
    <w:p w:rsidR="00696C78" w:rsidRPr="00696C78" w:rsidRDefault="00696C78" w:rsidP="00696C78">
      <w:pPr>
        <w:pStyle w:val="aa"/>
        <w:numPr>
          <w:ilvl w:val="0"/>
          <w:numId w:val="2"/>
        </w:numPr>
        <w:rPr>
          <w:rFonts w:ascii="宋体" w:hAnsi="宋体"/>
          <w:sz w:val="21"/>
          <w:szCs w:val="21"/>
        </w:rPr>
      </w:pPr>
      <w:bookmarkStart w:id="14" w:name="_Ref126848190"/>
      <w:r w:rsidRPr="007A42D6">
        <w:rPr>
          <w:rFonts w:ascii="宋体" w:hAnsi="宋体"/>
          <w:sz w:val="21"/>
          <w:szCs w:val="21"/>
        </w:rPr>
        <w:t>Khan M Q, Lee S. Gaze and eye tracking: Techniques and applications in ADAS[J]. Sensors, 2019, 19(24): 5540.</w:t>
      </w:r>
      <w:bookmarkEnd w:id="14"/>
    </w:p>
    <w:p w:rsidR="00330E78" w:rsidRDefault="00330E78" w:rsidP="00330E78">
      <w:pPr>
        <w:pStyle w:val="aa"/>
        <w:numPr>
          <w:ilvl w:val="0"/>
          <w:numId w:val="2"/>
        </w:numPr>
        <w:rPr>
          <w:rFonts w:ascii="宋体" w:hAnsi="宋体"/>
          <w:sz w:val="21"/>
          <w:szCs w:val="21"/>
        </w:rPr>
      </w:pPr>
      <w:bookmarkStart w:id="15" w:name="_Ref126485528"/>
      <w:r w:rsidRPr="00330E78">
        <w:rPr>
          <w:rFonts w:ascii="宋体" w:hAnsi="宋体" w:hint="eastAsia"/>
          <w:sz w:val="21"/>
          <w:szCs w:val="21"/>
        </w:rPr>
        <w:t>李银国,周中奎,白羚.基于双目图像的大尺度智能驾驶场景重建[J]计算机科学,2019,46(S11):251-254+259</w:t>
      </w:r>
      <w:bookmarkEnd w:id="15"/>
    </w:p>
    <w:p w:rsidR="00800AFC" w:rsidRPr="00A36096" w:rsidRDefault="00800AFC" w:rsidP="00330E78">
      <w:pPr>
        <w:pStyle w:val="aa"/>
        <w:numPr>
          <w:ilvl w:val="0"/>
          <w:numId w:val="2"/>
        </w:numPr>
        <w:rPr>
          <w:rFonts w:ascii="宋体" w:hAnsi="宋体"/>
          <w:sz w:val="21"/>
          <w:szCs w:val="21"/>
        </w:rPr>
      </w:pPr>
      <w:bookmarkStart w:id="16"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16"/>
    </w:p>
    <w:p w:rsidR="00A36096" w:rsidRDefault="007C4015" w:rsidP="007C4015">
      <w:pPr>
        <w:pStyle w:val="aa"/>
        <w:numPr>
          <w:ilvl w:val="0"/>
          <w:numId w:val="2"/>
        </w:numPr>
        <w:rPr>
          <w:rFonts w:ascii="宋体" w:hAnsi="宋体"/>
          <w:sz w:val="21"/>
          <w:szCs w:val="21"/>
        </w:rPr>
      </w:pPr>
      <w:bookmarkStart w:id="17"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17"/>
    </w:p>
    <w:p w:rsidR="007A7A98" w:rsidRDefault="007A7A98" w:rsidP="007A7A98">
      <w:pPr>
        <w:pStyle w:val="aa"/>
        <w:numPr>
          <w:ilvl w:val="0"/>
          <w:numId w:val="2"/>
        </w:numPr>
        <w:rPr>
          <w:rFonts w:ascii="宋体" w:hAnsi="宋体"/>
          <w:sz w:val="21"/>
          <w:szCs w:val="21"/>
        </w:rPr>
      </w:pPr>
      <w:bookmarkStart w:id="18" w:name="_Ref127216158"/>
      <w:r w:rsidRPr="007A7A98">
        <w:rPr>
          <w:rFonts w:ascii="宋体" w:hAnsi="宋体"/>
          <w:sz w:val="21"/>
          <w:szCs w:val="21"/>
        </w:rPr>
        <w:lastRenderedPageBreak/>
        <w:t>Li Y, An Z, Wang Z, et al. V2x-sim: A virtual collaborative perception dataset for autonomous driving[J]. arXiv preprint arXiv:2202.08449, 2022.</w:t>
      </w:r>
      <w:bookmarkEnd w:id="18"/>
    </w:p>
    <w:p w:rsidR="005732C6" w:rsidRDefault="005732C6" w:rsidP="005732C6">
      <w:pPr>
        <w:pStyle w:val="aa"/>
        <w:numPr>
          <w:ilvl w:val="0"/>
          <w:numId w:val="2"/>
        </w:numPr>
        <w:rPr>
          <w:rFonts w:ascii="宋体" w:hAnsi="宋体"/>
          <w:sz w:val="21"/>
          <w:szCs w:val="21"/>
        </w:rPr>
      </w:pPr>
      <w:bookmarkStart w:id="19" w:name="_Ref127265482"/>
      <w:r w:rsidRPr="005732C6">
        <w:rPr>
          <w:rFonts w:ascii="宋体" w:hAnsi="宋体"/>
          <w:sz w:val="21"/>
          <w:szCs w:val="21"/>
        </w:rPr>
        <w:t>Sualeh M, Kim G W. Dynamic multi-lidar based multiple object detection and tracking[J]. Sensors, 2019, 19(6): 1474.</w:t>
      </w:r>
      <w:bookmarkEnd w:id="19"/>
    </w:p>
    <w:p w:rsidR="00864F44" w:rsidRDefault="00864F44" w:rsidP="00864F44">
      <w:pPr>
        <w:pStyle w:val="aa"/>
        <w:numPr>
          <w:ilvl w:val="0"/>
          <w:numId w:val="2"/>
        </w:numPr>
        <w:rPr>
          <w:rFonts w:ascii="宋体" w:hAnsi="宋体"/>
          <w:sz w:val="21"/>
          <w:szCs w:val="21"/>
        </w:rPr>
      </w:pPr>
      <w:bookmarkStart w:id="20" w:name="_Ref127267354"/>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 E A, Sezer V. Comparison and application of multiple 3D LIDAR fusion methods for object detection and tracking[C]//2020 5th International Conference on Robotics and Automation Engineering (ICRAE). IEEE, 2020: 64-69.</w:t>
      </w:r>
      <w:bookmarkEnd w:id="20"/>
    </w:p>
    <w:p w:rsidR="00BE7603" w:rsidRDefault="00BE7603" w:rsidP="00BE7603">
      <w:pPr>
        <w:pStyle w:val="aa"/>
        <w:numPr>
          <w:ilvl w:val="0"/>
          <w:numId w:val="2"/>
        </w:numPr>
        <w:rPr>
          <w:rFonts w:ascii="宋体" w:hAnsi="宋体"/>
          <w:sz w:val="21"/>
          <w:szCs w:val="21"/>
        </w:rPr>
      </w:pPr>
      <w:bookmarkStart w:id="21" w:name="_Ref127278651"/>
      <w:r w:rsidRPr="00BE7603">
        <w:rPr>
          <w:rFonts w:ascii="宋体" w:hAnsi="宋体"/>
          <w:sz w:val="21"/>
          <w:szCs w:val="21"/>
        </w:rPr>
        <w:t>Kanno A, Takaoka R, Otani S, et al. Handheld millimeter-wave radar and lidar systems using an IMU device[C]//Passive and Active Millimeter-Wave Imaging XXII. SPIE, 2019, 10994: 62-67.</w:t>
      </w:r>
      <w:bookmarkEnd w:id="21"/>
    </w:p>
    <w:p w:rsidR="005732C6" w:rsidRDefault="00864F44" w:rsidP="00864F44">
      <w:pPr>
        <w:pStyle w:val="aa"/>
        <w:numPr>
          <w:ilvl w:val="0"/>
          <w:numId w:val="2"/>
        </w:numPr>
        <w:rPr>
          <w:rFonts w:ascii="宋体" w:hAnsi="宋体"/>
          <w:sz w:val="21"/>
          <w:szCs w:val="21"/>
        </w:rPr>
      </w:pPr>
      <w:bookmarkStart w:id="22" w:name="_Ref127267525"/>
      <w:r w:rsidRPr="00864F44">
        <w:rPr>
          <w:rFonts w:ascii="宋体" w:hAnsi="宋体" w:hint="eastAsia"/>
          <w:sz w:val="21"/>
          <w:szCs w:val="21"/>
        </w:rPr>
        <w:t xml:space="preserve">Xiangwei D, Fei Q I N, Xiangxi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2"/>
    </w:p>
    <w:p w:rsidR="00FA7908" w:rsidRDefault="00FA7908" w:rsidP="00FA7908">
      <w:pPr>
        <w:pStyle w:val="aa"/>
        <w:numPr>
          <w:ilvl w:val="0"/>
          <w:numId w:val="2"/>
        </w:numPr>
        <w:rPr>
          <w:rFonts w:ascii="宋体" w:hAnsi="宋体"/>
          <w:sz w:val="21"/>
          <w:szCs w:val="21"/>
        </w:rPr>
      </w:pPr>
      <w:bookmarkStart w:id="23" w:name="_Ref127279979"/>
      <w:r w:rsidRPr="00FA7908">
        <w:rPr>
          <w:rFonts w:ascii="宋体" w:hAnsi="宋体" w:hint="eastAsia"/>
          <w:sz w:val="21"/>
          <w:szCs w:val="21"/>
        </w:rPr>
        <w:t>Xiong H, Yu D, Liu J, et al. Fast and robust approaches for lane detection using multi‐camera fusion in complex scenes[J]. IET Intelligent Transport Systems, 2020, 14(12): 1582-1593.</w:t>
      </w:r>
      <w:bookmarkEnd w:id="23"/>
    </w:p>
    <w:p w:rsidR="0044455D" w:rsidRDefault="0044455D" w:rsidP="0044455D">
      <w:pPr>
        <w:pStyle w:val="aa"/>
        <w:numPr>
          <w:ilvl w:val="0"/>
          <w:numId w:val="2"/>
        </w:numPr>
        <w:rPr>
          <w:rFonts w:ascii="宋体" w:hAnsi="宋体"/>
          <w:sz w:val="21"/>
          <w:szCs w:val="21"/>
        </w:rPr>
      </w:pPr>
      <w:bookmarkStart w:id="24" w:name="_Ref127281047"/>
      <w:r w:rsidRPr="0044455D">
        <w:rPr>
          <w:rFonts w:ascii="宋体" w:hAnsi="宋体"/>
          <w:sz w:val="21"/>
          <w:szCs w:val="21"/>
        </w:rPr>
        <w:t>Majumder U K, Blasch E P, Garren D A. Deep learning for radar and communications automatic target recognition[M]. Artech House, 2020.</w:t>
      </w:r>
      <w:bookmarkEnd w:id="24"/>
    </w:p>
    <w:p w:rsidR="00373961" w:rsidRDefault="00373961" w:rsidP="00373961">
      <w:pPr>
        <w:pStyle w:val="aa"/>
        <w:numPr>
          <w:ilvl w:val="0"/>
          <w:numId w:val="2"/>
        </w:numPr>
        <w:rPr>
          <w:rFonts w:ascii="宋体" w:hAnsi="宋体"/>
          <w:sz w:val="21"/>
          <w:szCs w:val="21"/>
        </w:rPr>
      </w:pPr>
      <w:bookmarkStart w:id="25"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5"/>
    </w:p>
    <w:p w:rsidR="00133941" w:rsidRDefault="00133941" w:rsidP="00133941">
      <w:pPr>
        <w:pStyle w:val="aa"/>
        <w:numPr>
          <w:ilvl w:val="0"/>
          <w:numId w:val="2"/>
        </w:numPr>
        <w:rPr>
          <w:rFonts w:ascii="宋体" w:hAnsi="宋体"/>
          <w:sz w:val="21"/>
          <w:szCs w:val="21"/>
        </w:rPr>
      </w:pPr>
      <w:bookmarkStart w:id="26" w:name="_Ref126520829"/>
      <w:r w:rsidRPr="00133941">
        <w:rPr>
          <w:rFonts w:ascii="宋体" w:hAnsi="宋体" w:hint="eastAsia"/>
          <w:sz w:val="21"/>
          <w:szCs w:val="21"/>
        </w:rPr>
        <w:t>程建康. 视觉感知与毫米波雷达融合的防碰撞技术研究[D]. 四川:电子科技大学,2022.</w:t>
      </w:r>
      <w:bookmarkEnd w:id="26"/>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180" w:rsidRDefault="00FF1180" w:rsidP="00365454">
      <w:r>
        <w:separator/>
      </w:r>
    </w:p>
  </w:endnote>
  <w:endnote w:type="continuationSeparator" w:id="0">
    <w:p w:rsidR="00FF1180" w:rsidRDefault="00FF1180"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180" w:rsidRDefault="00FF1180" w:rsidP="00365454">
      <w:r>
        <w:separator/>
      </w:r>
    </w:p>
  </w:footnote>
  <w:footnote w:type="continuationSeparator" w:id="0">
    <w:p w:rsidR="00FF1180" w:rsidRDefault="00FF1180"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41D77"/>
    <w:rsid w:val="00044996"/>
    <w:rsid w:val="000C12B4"/>
    <w:rsid w:val="000D1009"/>
    <w:rsid w:val="000D32B3"/>
    <w:rsid w:val="00102317"/>
    <w:rsid w:val="00133941"/>
    <w:rsid w:val="0013636F"/>
    <w:rsid w:val="00140416"/>
    <w:rsid w:val="001641F2"/>
    <w:rsid w:val="001915C9"/>
    <w:rsid w:val="001A2EFC"/>
    <w:rsid w:val="001B3157"/>
    <w:rsid w:val="001B42CF"/>
    <w:rsid w:val="00225C60"/>
    <w:rsid w:val="0024378F"/>
    <w:rsid w:val="00272C77"/>
    <w:rsid w:val="0030511F"/>
    <w:rsid w:val="003063EE"/>
    <w:rsid w:val="00306787"/>
    <w:rsid w:val="003179B6"/>
    <w:rsid w:val="00330E78"/>
    <w:rsid w:val="00331D9B"/>
    <w:rsid w:val="003408DB"/>
    <w:rsid w:val="00365454"/>
    <w:rsid w:val="00371CB9"/>
    <w:rsid w:val="00373961"/>
    <w:rsid w:val="003966E7"/>
    <w:rsid w:val="003B664D"/>
    <w:rsid w:val="0044455D"/>
    <w:rsid w:val="004621CE"/>
    <w:rsid w:val="00482388"/>
    <w:rsid w:val="004F5FD0"/>
    <w:rsid w:val="00527C9C"/>
    <w:rsid w:val="00567BC2"/>
    <w:rsid w:val="005732C6"/>
    <w:rsid w:val="005A26F3"/>
    <w:rsid w:val="005B3985"/>
    <w:rsid w:val="005D353E"/>
    <w:rsid w:val="00613705"/>
    <w:rsid w:val="00626C39"/>
    <w:rsid w:val="0068311B"/>
    <w:rsid w:val="006831E7"/>
    <w:rsid w:val="00696C78"/>
    <w:rsid w:val="006C4FEE"/>
    <w:rsid w:val="006E355A"/>
    <w:rsid w:val="00777595"/>
    <w:rsid w:val="007A42D6"/>
    <w:rsid w:val="007A7A98"/>
    <w:rsid w:val="007C4015"/>
    <w:rsid w:val="007D7B5C"/>
    <w:rsid w:val="00800AFC"/>
    <w:rsid w:val="0080172E"/>
    <w:rsid w:val="00807C93"/>
    <w:rsid w:val="00815F78"/>
    <w:rsid w:val="00823857"/>
    <w:rsid w:val="00853027"/>
    <w:rsid w:val="00864F44"/>
    <w:rsid w:val="00891C37"/>
    <w:rsid w:val="008B6947"/>
    <w:rsid w:val="008E7380"/>
    <w:rsid w:val="008F21EE"/>
    <w:rsid w:val="00937F0C"/>
    <w:rsid w:val="009524E0"/>
    <w:rsid w:val="009B695A"/>
    <w:rsid w:val="009C4491"/>
    <w:rsid w:val="009D039A"/>
    <w:rsid w:val="009E4BF4"/>
    <w:rsid w:val="00A04872"/>
    <w:rsid w:val="00A32868"/>
    <w:rsid w:val="00A36096"/>
    <w:rsid w:val="00A757F5"/>
    <w:rsid w:val="00A8301B"/>
    <w:rsid w:val="00AB57A7"/>
    <w:rsid w:val="00AD1C65"/>
    <w:rsid w:val="00B827E3"/>
    <w:rsid w:val="00B97F66"/>
    <w:rsid w:val="00BE7603"/>
    <w:rsid w:val="00BF59E1"/>
    <w:rsid w:val="00C30678"/>
    <w:rsid w:val="00C355CC"/>
    <w:rsid w:val="00C359F8"/>
    <w:rsid w:val="00C573DE"/>
    <w:rsid w:val="00CA0A99"/>
    <w:rsid w:val="00CD5889"/>
    <w:rsid w:val="00D13EDC"/>
    <w:rsid w:val="00D26DB9"/>
    <w:rsid w:val="00D74BC1"/>
    <w:rsid w:val="00E07565"/>
    <w:rsid w:val="00E46B56"/>
    <w:rsid w:val="00E60F39"/>
    <w:rsid w:val="00E67BF8"/>
    <w:rsid w:val="00E7706C"/>
    <w:rsid w:val="00E87366"/>
    <w:rsid w:val="00EA7CC9"/>
    <w:rsid w:val="00EF5490"/>
    <w:rsid w:val="00EF60A9"/>
    <w:rsid w:val="00F10F85"/>
    <w:rsid w:val="00F21FD2"/>
    <w:rsid w:val="00F570FA"/>
    <w:rsid w:val="00F60AC0"/>
    <w:rsid w:val="00F81187"/>
    <w:rsid w:val="00F9630F"/>
    <w:rsid w:val="00FA66A7"/>
    <w:rsid w:val="00FA7908"/>
    <w:rsid w:val="00FE336E"/>
    <w:rsid w:val="00FF1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18C65"/>
  <w15:chartTrackingRefBased/>
  <w15:docId w15:val="{AB7BD135-DBA1-4048-834A-D00C92E6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6BDE-EFC8-423D-95E8-2E843EF89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10</Pages>
  <Words>1464</Words>
  <Characters>8347</Characters>
  <Application>Microsoft Office Word</Application>
  <DocSecurity>0</DocSecurity>
  <Lines>69</Lines>
  <Paragraphs>19</Paragraphs>
  <ScaleCrop>false</ScaleCrop>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18</cp:revision>
  <dcterms:created xsi:type="dcterms:W3CDTF">2023-02-04T07:28:00Z</dcterms:created>
  <dcterms:modified xsi:type="dcterms:W3CDTF">2023-02-14T13:00:00Z</dcterms:modified>
</cp:coreProperties>
</file>