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="http://schemas.openxmlformats.org/officeDocument/2006/math" xmlns:o="urn:schemas-microsoft-com:office:office" xmlns:v="urn:schemas-microsoft-com:vml" xmlns:w10="urn:schemas-microsoft-com:office:word">
  <w:body>
    <w:bookmarkStart w:id="15" w:name="Xabae57105ac5e764670545c44087c581fe18866"/>
    <w:p>
      <w:pPr>
        <w:pStyle w:val="Heading1"/>
      </w:pPr>
      <w:r>
        <w:t xml:space="preserve">Effect of NSW Job Training on 1978 Earnings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note replicates the LaLonde NSW training evaluation to demonstrate the manuscript-assembly stage of the Paper-WorkFlow pipeline. The substantive question is whether participation in the National Supported Work demonstration raised earnings in 1978, and how sensitive the answer is to the control set.</w:t>
      </w:r>
    </w:p>
    <w:bookmarkEnd w:id="9"/>
    <w:bookmarkStart w:id="13" w:name="results"/>
    <w:p>
      <w:pPr>
        <w:pStyle w:val="Heading2"/>
      </w:pPr>
      <w:r>
        <w:t xml:space="preserve">2. Results</w:t>
      </w:r>
    </w:p>
    <w:p>
      <w:pPr>
        <w:pStyle w:val="FirstParagraph"/>
      </w:pPr>
      <w:r>
        <w:t xml:space="preserve">Column (1) of Table 2 regresses 1978 earnings on the training indicator with no controls and recovers a negative point estimate, which is the well-known consequence of comparing the treated sample to an observational comparison group that differs sharply in pre-treatment characteristics. Adding the full control set in column (2) reverses the sign: training is associated with 1548.244 dollars of additional 1978 earnings, significant at the 5 percent level. The estimation sample contains 614 observations throughout, so the movement between columns is driven entirely by the conditioning set rather than by a change in sample.</w:t>
      </w:r>
    </w:p>
    <w:p>
      <w:pPr>
        <w:pStyle w:val="BodyText"/>
      </w:pPr>
      <w:r>
        <w:rPr>
          <w:b/>
          <w:bCs/>
        </w:rPr>
        <w:t xml:space="preserve">Table 2. Effect of NSW job training on 1978 earnings</w:t>
      </w:r>
    </w:p>
    <w:tbl>
      <w:tblPr>
        <w:tblStyle w:val="Table"/>
        <w:tblW w:type="auto" w:w="0"/>
        <w:tblBorders>
          <w:top w:val="single" w:sz="12" w:space="0" w:color="000000"/>
          <w:left w:val="nil" w:sz="0" w:space="0" w:color="auto"/>
          <w:bottom w:val="single" w:sz="12" w:space="0" w:color="000000"/>
          <w:right w:val="nil" w:sz="0" w:space="0" w:color="auto"/>
          <w:insideH w:val="nil" w:sz="0" w:space="0" w:color="auto"/>
          <w:insideV w:val="nil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</w:p>
        </w:tc>
        <w:tc>
          <w:tcPr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(1) OLS (no controls)</w:t>
            </w:r>
          </w:p>
        </w:tc>
        <w:tc>
          <w:tcPr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(2) OLS (full controls)</w:t>
            </w:r>
          </w:p>
        </w:tc>
        <w:tc>
          <w:tcPr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(3) IV-2SLS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6984.170***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-1174.130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295.630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(352.329)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(2540.349)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(3280.766)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Job training (NSW)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-635.026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1548.244**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-5955.471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(676.748)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(740.576)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(4072.115)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12.978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65.533*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(31.704)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(36.238)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educ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403.941**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655.990***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(160.395)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(183.652)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married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406.621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1354.891*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(658.549)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(796.593)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nodegree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259.817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697.551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(891.786)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(1015.016)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re74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0.296***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(0.071)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re75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0.232*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(0.119)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race_hispan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1739.541*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-1025.507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(1023.763)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(2129.765)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race_white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1240.644*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-2299.665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(695.766)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(2284.319)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First-stage F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14.21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Hansen J p-value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0.029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614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614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614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R^2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0.002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0.148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  <w:r>
              <w:t xml:space="preserve">-0.047</w:t>
            </w: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DV mean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First-stage F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Standard errors in parentheses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</w:tr>
      <w:tr>
        <w:tc>
          <w:tcPr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left"/>
            </w:pPr>
            <w:r>
              <w:t xml:space="preserve">*** p&lt;0.01, ** p&lt;0.05, * p&lt;0.10</w:t>
            </w:r>
          </w:p>
        </w:tc>
        <w:tc>
          <w:tcPr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t xml:space="preserve">The instrumental-variables specification in column (3) is reported for completeness rather than as a preferred estimate: its first-stage F statistic of 14.21 sits close to conventional weak-instrument thresholds and the Hansen J p-value of 0.029 rejects the overidentifying restrictions, so the column is not evidence for a causal claim and is not read as one here.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Figure 1. Coefficient estimates across specifications" title="" id="11" name="Picture"/>
            <a:graphic>
              <a:graphicData uri="http://schemas.openxmlformats.org/drawingml/2006/picture">
                <pic:pic>
                  <pic:nvPicPr>
                    <pic:cNvPr descr="/Users/brycewang/Documents/GitHub/Auto-Empirical-Research-Skills/demo-notebooks/_manuscript_docx_demo/04_results/fig3_coefplo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Coefficient estimates across specifications</w:t>
      </w:r>
    </w:p>
    <w:p>
      <w:pPr>
        <w:pStyle w:val="BodyText"/>
      </w:pPr>
      <w:r>
        <w:t xml:space="preserve">Figure 1 plots the treatment coefficient across specifications and makes the sensitivity visible directly: the estimate is not stable enough across control sets for this design to support an unqualified causal reading, which is the honest conclusion the exhibits actually license.</w:t>
      </w:r>
    </w:p>
    <w:bookmarkEnd w:id="13"/>
    <w:bookmarkStart w:id="14" w:name="conclusion"/>
    <w:p>
      <w:pPr>
        <w:pStyle w:val="Heading2"/>
      </w:pPr>
      <w:r>
        <w:t xml:space="preserve">3. Conclusion</w:t>
      </w:r>
    </w:p>
    <w:p>
      <w:pPr>
        <w:pStyle w:val="FirstParagraph"/>
      </w:pPr>
      <w:r>
        <w:t xml:space="preserve">The exercise reproduces the standard LaLonde teaching result and, more to the point here, produces a single Word file that contains the prose, the table, the figure and the reference list together, with every printed number traceable to a committed analysis artifact.</w:t>
      </w:r>
    </w:p>
    <w:bookmarkEnd w:id="14"/>
    <w:bookmarkEnd w:id="15"/>
    <w:bookmarkStart w:id="16" w:name="参考文献-references"/>
    <w:p>
      <w:pPr>
        <w:pStyle w:val="Heading1"/>
      </w:pPr>
      <w:r>
        <w:rPr>
          <w:rFonts w:hint="eastAsia"/>
        </w:rPr>
        <w:t xml:space="preserve">参考文献</w:t>
      </w:r>
      <w:r>
        <w:t xml:space="preserve"> / References</w:t>
      </w:r>
    </w:p>
    <w:p>
      <w:pPr>
        <w:pStyle w:val="FirstParagraph"/>
      </w:pPr>
      <w:r>
        <w:t xml:space="preserve">Dehejia, Rajeev H., Wahba, Sadek (1999). Causal Effects in Nonexperimental Studies. Journal of the American Statistical Association, 94, 1053–1062.</w:t>
      </w:r>
    </w:p>
    <w:p>
      <w:pPr>
        <w:pStyle w:val="BodyText"/>
      </w:pPr>
      <w:r>
        <w:t xml:space="preserve">LaLonde, Robert J. (1986). Evaluating the Econometric Evaluations of Training Programs with Experimental Data. American Economic Review, 76, 604–620.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2026-09-02T06:00:49Z</dcterms:created>
  <dcterms:modified xsi:type="dcterms:W3CDTF">2026-09-02T06:00:49Z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