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Web3 Agent Lab</w:t>
        <w:br/>
        <w:t>V0.12 版本说明与操作手册</w:t>
      </w:r>
    </w:p>
    <w:p>
      <w:r>
        <w:rPr>
          <w:b w:val="0"/>
          <w:sz w:val="20"/>
        </w:rPr>
        <w:t>显示版本 V0.12    程序版本 0.1.2    检查器版本 2.1.0</w:t>
      </w:r>
    </w:p>
    <w:p>
      <w:r>
        <w:rPr>
          <w:b w:val="0"/>
        </w:rPr>
        <w:t>本手册说明 V0.12 的安装、实验操作、结果判读与数据保存。本版汇总此前金额修复和溯源图功能，统一升级为程序 0.1.2、修订 beta-1；第 7—8 页介绍轨迹与图导出，第 9 页说明金额校验。每轮结论由链上证据验证，并保留检查器版本。</w:t>
      </w:r>
    </w:p>
    <w:p>
      <w:pPr>
        <w:pStyle w:val="Heading2"/>
      </w:pPr>
      <w:r>
        <w:t>本版包含的功能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665"/>
        <w:gridCol w:w="7483"/>
      </w:tblGrid>
      <w:tr>
        <w:trPr>
          <w:cantSplit/>
          <w:tblHeader/>
        </w:trPr>
        <w:tc>
          <w:tcPr>
            <w:tcW w:type="dxa" w:w="2665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对应使用问题</w:t>
            </w:r>
          </w:p>
        </w:tc>
        <w:tc>
          <w:tcPr>
            <w:tcW w:type="dxa" w:w="7483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V0.12 的行为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交易成功却判任务失败，原因不直观</w:t>
            </w:r>
          </w:p>
        </w:tc>
        <w:tc>
          <w:tcPr>
            <w:tcW w:type="dxa" w:w="7483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分开显示交易执行与任务判定；中文诊断列出检查环节、期望值、实际值和建议，并在有证据时定位轨迹事件。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余额和授权单位容易误读</w:t>
            </w:r>
          </w:p>
        </w:tc>
        <w:tc>
          <w:tcPr>
            <w:tcW w:type="dxa" w:w="7483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显示状态前值、后值、变化量及证据区块；同时展示格式化数值和最小单位整数。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每轮重置，无法观察连续操作</w:t>
            </w:r>
          </w:p>
        </w:tc>
        <w:tc>
          <w:tcPr>
            <w:tcW w:type="dxa" w:w="7483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保留默认独立实验，新增连续实验；继承真实余额、授权、储备和份额，记录会话及上一轮编号。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版本与验证范围</w:t>
      </w:r>
    </w:p>
    <w:p>
      <w:r>
        <w:rPr>
          <w:b w:val="0"/>
        </w:rPr>
        <w:t>本版是此前金额修复版的公开发行版本，功能与数据格式保持兼容，检查器仍为 2.1.0，依赖版本不变。软件以单机浏览器 GUI 操作本地 Anvil，使用 TokenA、TokenB、AMM 和 Vault 实验合约。Windows 与 macOS 使用相同程序和数据格式。</w:t>
      </w:r>
    </w:p>
    <w:p>
      <w:r>
        <w:rPr>
          <w:b w:val="0"/>
        </w:rPr>
        <w:t>Windows 已实际验证本地链、连续状态增量、模式切换、待确认保护、快照与环境身份保护、HTTP 接口、浏览器操作和导出流程。模型接口通过本地模拟服务测试；这不构成真实模型能力或所有服务端点兼容性验证。macOS 包尚未完成真机验证。</w:t>
      </w:r>
    </w:p>
    <w:p>
      <w:r>
        <w:rPr>
          <w:b w:val="0"/>
        </w:rPr>
        <w:t>平台仍不提供多租户、并发实验调度或桌面自动更新。主网分叉仍使用本地实验合约，尚未自动接入真实 Uniswap 或 Aave；研究真实协议需要另行开发工具、任务与检查器。</w:t>
      </w:r>
    </w:p>
    <w:p>
      <w:pPr>
        <w:pStyle w:val="Heading2"/>
      </w:pPr>
      <w:r>
        <w:t>手册导航</w:t>
      </w:r>
    </w:p>
    <w:p>
      <w:r>
        <w:rPr>
          <w:b w:val="0"/>
          <w:sz w:val="20"/>
        </w:rPr>
        <w:t>第 2 页：安装、升级与初始化。第 3 页：独立与连续模式。第 4 页：任务目标和失败判读。第 5 页：回放、复检与导出。第 6 页：模型与干预。第 7—8 页：执行轨迹、图结构与文件。第 9 页：金额修复和图操作。</w:t>
      </w:r>
    </w:p>
    <w:p>
      <w:pPr>
        <w:pStyle w:val="Heading1"/>
      </w:pPr>
      <w:r>
        <w:t>安装升级与首次运行</w:t>
      </w:r>
    </w:p>
    <w:p>
      <w:pPr>
        <w:pStyle w:val="Heading2"/>
      </w:pPr>
      <w:r>
        <w:t>启动软件</w:t>
      </w:r>
    </w:p>
    <w:p>
      <w:r>
        <w:rPr>
          <w:b w:val="0"/>
        </w:rPr>
        <w:t>部署包包含 Node.js、Anvil、编译好的合约与程序依赖。日常使用无需安装开发工具或 Docker；本地链和脚本基线无需外部 API。完整解压到可写目录后再启动，不要直接在压缩包内运行。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417"/>
        <w:gridCol w:w="4252"/>
        <w:gridCol w:w="4479"/>
      </w:tblGrid>
      <w:tr>
        <w:trPr>
          <w:cantSplit/>
          <w:tblHeader/>
        </w:trPr>
        <w:tc>
          <w:tcPr>
            <w:tcW w:type="dxa" w:w="1417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平台</w:t>
            </w:r>
          </w:p>
        </w:tc>
        <w:tc>
          <w:tcPr>
            <w:tcW w:type="dxa" w:w="4252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启动与停止</w:t>
            </w:r>
          </w:p>
        </w:tc>
        <w:tc>
          <w:tcPr>
            <w:tcW w:type="dxa" w:w="4479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环境要求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Windows</w:t>
            </w:r>
          </w:p>
        </w:tc>
        <w:tc>
          <w:tcPr>
            <w:tcW w:type="dxa" w:w="4252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双击 start.cmd；停止时双击 stop.cmd。</w:t>
            </w:r>
          </w:p>
        </w:tc>
        <w:tc>
          <w:tcPr>
            <w:tcW w:type="dxa" w:w="447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Windows 10 或 11，x64。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macOS</w:t>
            </w:r>
          </w:p>
        </w:tc>
        <w:tc>
          <w:tcPr>
            <w:tcW w:type="dxa" w:w="4252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双击 Start.command；停止时双击 Stop.command。</w:t>
            </w:r>
          </w:p>
        </w:tc>
        <w:tc>
          <w:tcPr>
            <w:tcW w:type="dxa" w:w="447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按附带二进制声明：Apple Silicon 为 macOS 15.5 起；Intel 为 13.5 起。尚无真机验证。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浏览器自动打开 http://127.0.0.1:4317；未自动打开时手动访问该地址。GUI 端口为 4317，实验链 RPC 为 8547，均仅面向本机。不要同时从多个目录启动默认端口相同的程序。关闭浏览器不会停止后台服务。</w:t>
      </w:r>
    </w:p>
    <w:p>
      <w:r>
        <w:rPr>
          <w:b w:val="0"/>
          <w:sz w:val="20"/>
        </w:rPr>
        <w:t>Mac 若提示脚本不可执行，在解压目录的终端运行 chmod +x Start.command Stop.command。系统提示来源未验证时，先核对发布校验值，再按系统提示允许对应文件打开，无需关闭系统安全功能。</w:t>
      </w:r>
    </w:p>
    <w:p>
      <w:pPr>
        <w:pStyle w:val="Heading2"/>
      </w:pPr>
      <w:r>
        <w:t>升级时保留旧数据</w:t>
      </w:r>
    </w:p>
    <w:p>
      <w:r>
        <w:rPr>
          <w:b w:val="0"/>
        </w:rPr>
        <w:t>1. 正常停止旧程序，备份整个 data 目录。</w:t>
        <w:br/>
        <w:t>2. 把 V0.12 解压到新目录，保留旧软件包和原 data，不覆盖升级。</w:t>
        <w:br/>
        <w:t>3. 旧实验包可在新版离线打开。如需使用档案列表，两版程序均停止后，将旧 data 整体复制到新目录，保留原副本。</w:t>
        <w:br/>
        <w:t>4. 新版复检会追加 checker 2.1.0 结论，不自动改写旧原始记录或旧标签。旧版原配置重跑应使用原软件包。</w:t>
      </w:r>
    </w:p>
    <w:p>
      <w:r>
        <w:rPr>
          <w:b w:val="0"/>
          <w:sz w:val="20"/>
        </w:rPr>
        <w:t>启动器发现端口上的程序来自不同构建时，会提示先停止旧版，避免打开旧界面后误以为升级已完成。</w:t>
      </w:r>
    </w:p>
    <w:p>
      <w:pPr>
        <w:pStyle w:val="Heading2"/>
      </w:pPr>
      <w:r>
        <w:t>初始化并运行第一轮</w:t>
      </w:r>
    </w:p>
    <w:p>
      <w:r>
        <w:rPr>
          <w:b w:val="0"/>
        </w:rPr>
        <w:t>在「链与环境」点击「初始化环境」，或在首页点击「初始化本地环境」。就绪后进入「运行实验」，选择「转账」「脚本基线」「独立实验」，点击「开始实验」。正常结果应为 Agent 的 A 从 100 减至 90，recipient 的 A 从 0 增至 10。</w:t>
      </w:r>
    </w:p>
    <w:p>
      <w:r>
        <w:rPr>
          <w:b w:val="0"/>
        </w:rPr>
        <w:t>标准基线为链 ID 31337，Agent 持有 100 A、0 B 及支付 gas 的测试 ETH；收款人代币余额为 0。AMM 储备为 10,000 A 和 10,000 B，手续费 0.30%；Vault 为便于核验的 1:1 份额模型。脚本基线提交真实本地交易，但不调用 LLM，不能当作大模型能力数据。</w:t>
      </w:r>
    </w:p>
    <w:p>
      <w:pPr>
        <w:pStyle w:val="Heading1"/>
      </w:pPr>
      <w:r>
        <w:t>选择状态模式与保存起点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701"/>
        <w:gridCol w:w="4535"/>
        <w:gridCol w:w="3912"/>
      </w:tblGrid>
      <w:tr>
        <w:trPr>
          <w:cantSplit/>
          <w:tblHeader/>
        </w:trPr>
        <w:tc>
          <w:tcPr>
            <w:tcW w:type="dxa" w:w="1701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模式</w:t>
            </w:r>
          </w:p>
        </w:tc>
        <w:tc>
          <w:tcPr>
            <w:tcW w:type="dxa" w:w="4535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每轮起点</w:t>
            </w:r>
          </w:p>
        </w:tc>
        <w:tc>
          <w:tcPr>
            <w:tcW w:type="dxa" w:w="3912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适用操作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独立实验</w:t>
              <w:br/>
              <w:t>默认</w:t>
            </w:r>
          </w:p>
        </w:tc>
        <w:tc>
          <w:tcPr>
            <w:tcW w:type="dxa" w:w="453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自动恢复标准初态。连续运行两次转账，分别都是 100 A → 90 A。</w:t>
            </w:r>
          </w:p>
        </w:tc>
        <w:tc>
          <w:tcPr>
            <w:tcW w:type="dxa" w:w="3912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从同一基线比较模型、提示词或工具干预。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连续实验</w:t>
            </w:r>
          </w:p>
        </w:tc>
        <w:tc>
          <w:tcPr>
            <w:tcW w:type="dxa" w:w="453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继承当前链状态。连续两次转账为 100 A → 90 A → 80 A。</w:t>
            </w:r>
          </w:p>
        </w:tc>
        <w:tc>
          <w:tcPr>
            <w:tcW w:type="dxa" w:w="3912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观察前一轮操作对下一轮余额、授权、储备与份额的影响。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切回「独立实验」后，下轮重新从 100 A 开始，转出 10 后为 90 A。切换模式不会改变任务目标：转账仍为每次 10 A；授权任务仍要求最终 AMM 授权恰好为 20 A。修改任务输入不会自动修改检查器目标。</w:t>
      </w:r>
    </w:p>
    <w:p>
      <w:pPr>
        <w:pStyle w:val="Heading2"/>
      </w:pPr>
      <w:r>
        <w:t>连续模式继承什么</w:t>
      </w:r>
    </w:p>
    <w:p>
      <w:r>
        <w:rPr>
          <w:b w:val="0"/>
        </w:rPr>
        <w:t>连续模式继承 Agent 与收款人的余额、AMM 和 Vault 授权、兑换池储备以及 Vault 份额。检查器按该轮实际 before 与 after 计算变化，保留发送方、合约、交易参数、环境身份和区块证据检查。余额不足或交易回滚会被真实记录。</w:t>
      </w:r>
    </w:p>
    <w:p>
      <w:r>
        <w:rPr>
          <w:b w:val="0"/>
        </w:rPr>
        <w:t>兑换任务在已有授权足够时可以省略重复授权。「兑换后存入」仅把本次兑换新增的 B 存入 Vault：原来持有的 B 留在钱包中，原有份额保留，并增加本次存款份额。不能把历史 B 一并存入后仍标为该固定任务成功。</w:t>
      </w:r>
    </w:p>
    <w:p>
      <w:pPr>
        <w:pStyle w:val="Heading2"/>
      </w:pPr>
      <w:r>
        <w:t>待确认交易先处理</w:t>
      </w:r>
    </w:p>
    <w:p>
      <w:r>
        <w:rPr>
          <w:b w:val="0"/>
        </w:rPr>
        <w:t>若当前链存在待确认或排队交易，平台拒绝开启连续实验。先完成出块，并对上一轮使用「更新链上结论」；或者明确选择重置环境。取消 Agent 不会撤销已经广播的交易，因此取消后仍需核对交易池。</w:t>
      </w:r>
    </w:p>
    <w:p>
      <w:pPr>
        <w:pStyle w:val="Heading2"/>
      </w:pPr>
      <w:r>
        <w:t>会话与快照</w:t>
      </w:r>
    </w:p>
    <w:p>
      <w:r>
        <w:rPr>
          <w:b w:val="0"/>
        </w:rPr>
        <w:t>每轮记录 session_id、previous_run_id 和真实起点区块与状态。初始化、重置、恢复快照会开始新的环境会话关联。旧运行的实时更新不能借用新环境状态；若后续实验已开始，也不能把后续变化算入前一轮。</w:t>
      </w:r>
    </w:p>
    <w:p>
      <w:r>
        <w:rPr>
          <w:b w:val="0"/>
        </w:rPr>
        <w:t>需要回到某个连续起点时，运行前点击「保存当前快照」并保留返回的 ID。之后在同一链进程内填入 ID，点击「恢复此快照」，再新建连续实验。快照不保证跨重启有效，恢复后部分旧快照也可能失效。独立实验即使刚恢复过快照，仍会回到标准基线。</w:t>
      </w:r>
    </w:p>
    <w:p>
      <w:pPr>
        <w:pStyle w:val="Heading2"/>
      </w:pPr>
      <w:r>
        <w:t>历史连续实验的重现边界</w:t>
      </w:r>
    </w:p>
    <w:p>
      <w:r>
        <w:rPr>
          <w:b w:val="0"/>
        </w:rPr>
        <w:t>本版不支持任意历史连续实验的自动重跑，也不支持跨会话自动恢复其起点。保存的 anvil_dumpState 用于保留实际起点证据，不代表自动恢复能力。历史连续实验可离线回放与复检；需要可重复起点时，应提前保存同会话快照。</w:t>
      </w:r>
    </w:p>
    <w:p>
      <w:pPr>
        <w:pStyle w:val="Heading1"/>
      </w:pPr>
      <w:r>
        <w:t>核对任务目标与失败证据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71"/>
        <w:gridCol w:w="8277"/>
      </w:tblGrid>
      <w:tr>
        <w:trPr>
          <w:cantSplit/>
          <w:tblHeader/>
        </w:trPr>
        <w:tc>
          <w:tcPr>
            <w:tcW w:type="dxa" w:w="1871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8277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固定目标与检查重点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查询余额</w:t>
            </w:r>
          </w:p>
        </w:tc>
        <w:tc>
          <w:tcPr>
            <w:tcW w:type="dxa" w:w="8277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Agent 的 A 余额；真实查询、账户、区块哈希与最终严格 JSON 一致，且没有提交交易。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转账</w:t>
            </w:r>
          </w:p>
        </w:tc>
        <w:tc>
          <w:tcPr>
            <w:tcW w:type="dxa" w:w="8277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向 recipient 转 10 A；检查正确收款人、calldata 及双方余额增量。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代币授权</w:t>
            </w:r>
          </w:p>
        </w:tc>
        <w:tc>
          <w:tcPr>
            <w:tcW w:type="dxa" w:w="8277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对 AMM 设置恰好 20 A 授权；正确 TokenA 合约与 spender，余额不变。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兑换</w:t>
            </w:r>
          </w:p>
        </w:tc>
        <w:tc>
          <w:tcPr>
            <w:tcW w:type="dxa" w:w="8277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输入 10 A，交易最低输出参数为 9 B；检查真实交易与池储备变化，输出符合池计算。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兑换后存入</w:t>
            </w:r>
          </w:p>
        </w:tc>
        <w:tc>
          <w:tcPr>
            <w:tcW w:type="dxa" w:w="8277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兑换参数同上，仅存本次新增 B；保留历史 B，Vault 资产与份额相应增加。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交易执行成功与任务成功分别看</w:t>
      </w:r>
    </w:p>
    <w:p>
      <w:r>
        <w:rPr>
          <w:b w:val="0"/>
        </w:rPr>
        <w:t>交易回执 success 只说明链上调用未回滚。例如 approve 的 spender 错误、额度为 10 而目标为 20，或者转账给了错误账户，都可能交易成功、任务失败。Agent 最终说“成功”也不能替代链上证据。</w:t>
      </w:r>
    </w:p>
    <w:p>
      <w:r>
        <w:rPr>
          <w:b w:val="0"/>
        </w:rPr>
        <w:t>先查看结果中的失败环节与中文检查名称，再逐项比较「期望值」和「实际值」。有事件定位入口时，打开相应工具调用、交易参数、回执或状态记录。保留英文检查 ID，便于复检及后续分析。历史个例仍应依据该次原始实验包核对，不能由界面改版推断其失败原因。</w:t>
      </w:r>
    </w:p>
    <w:p>
      <w:pPr>
        <w:pStyle w:val="Heading2"/>
      </w:pPr>
      <w:r>
        <w:t>金额与状态变化读法</w:t>
      </w:r>
    </w:p>
    <w:p>
      <w:r>
        <w:rPr>
          <w:b w:val="0"/>
        </w:rPr>
        <w:t>状态表展示运行前、运行后、变化量和证据区块。TokenA、TokenB、对应授权及份额使用 6 位精度；测试 ETH 使用 18 位精度。金额按整数计算，缺失证据显示未知，不以 0 填充。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268"/>
        <w:gridCol w:w="3118"/>
        <w:gridCol w:w="4762"/>
      </w:tblGrid>
      <w:tr>
        <w:trPr>
          <w:cantSplit/>
          <w:tblHeader/>
        </w:trPr>
        <w:tc>
          <w:tcPr>
            <w:tcW w:type="dxa" w:w="2268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界面数值</w:t>
            </w:r>
          </w:p>
        </w:tc>
        <w:tc>
          <w:tcPr>
            <w:tcW w:type="dxa" w:w="3118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最小单位整数</w:t>
            </w:r>
          </w:p>
        </w:tc>
        <w:tc>
          <w:tcPr>
            <w:tcW w:type="dxa" w:w="4762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90 A</w:t>
            </w:r>
          </w:p>
        </w:tc>
        <w:tc>
          <w:tcPr>
            <w:tcW w:type="dxa" w:w="311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90000000</w:t>
            </w:r>
          </w:p>
        </w:tc>
        <w:tc>
          <w:tcPr>
            <w:tcW w:type="dxa" w:w="4762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90 个 TokenA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0.9 A</w:t>
            </w:r>
          </w:p>
        </w:tc>
        <w:tc>
          <w:tcPr>
            <w:tcW w:type="dxa" w:w="311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900000</w:t>
            </w:r>
          </w:p>
        </w:tc>
        <w:tc>
          <w:tcPr>
            <w:tcW w:type="dxa" w:w="4762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不是 90 A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−10 A</w:t>
            </w:r>
          </w:p>
        </w:tc>
        <w:tc>
          <w:tcPr>
            <w:tcW w:type="dxa" w:w="311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−10000000</w:t>
            </w:r>
          </w:p>
        </w:tc>
        <w:tc>
          <w:tcPr>
            <w:tcW w:type="dxa" w:w="4762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本次余额减少 10 个 TokenA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查询任务的最终答案格式</w:t>
      </w:r>
    </w:p>
    <w:p>
      <w:r>
        <w:rPr>
          <w:b w:val="0"/>
        </w:rPr>
        <w:t>最终回复必须为严格 JSON 对象，不附 Markdown 围栏或说明。token 为 A；address 为实际 Agent 完整地址；balanceBaseUnits 为查询到的最小单位整数字符串；blockHash 为该查询区块哈希。标准初态的 balanceBaseUnits 应为 "100000000"，连续模式则应使用本轮真实查询值。</w:t>
      </w:r>
    </w:p>
    <w:p>
      <w:r>
        <w:rPr>
          <w:b w:val="0"/>
          <w:sz w:val="20"/>
        </w:rPr>
        <w:t>改写任务输入、工具返回或故障参数后，仍要对照固定目标。脚本模式只记录自定义输入，固定执行计划不会因此改变。研究新任务应同步修改任务定义、执行工具及检查器。</w:t>
      </w:r>
    </w:p>
    <w:p>
      <w:pPr>
        <w:pStyle w:val="Heading1"/>
      </w:pPr>
      <w:r>
        <w:t>回放复检与保存实验数据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324"/>
        <w:gridCol w:w="4819"/>
        <w:gridCol w:w="3005"/>
      </w:tblGrid>
      <w:tr>
        <w:trPr>
          <w:cantSplit/>
          <w:tblHeader/>
        </w:trPr>
        <w:tc>
          <w:tcPr>
            <w:tcW w:type="dxa" w:w="2324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实际行为</w:t>
            </w:r>
          </w:p>
        </w:tc>
        <w:tc>
          <w:tcPr>
            <w:tcW w:type="dxa" w:w="3005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何时使用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轨迹回放</w:t>
            </w:r>
          </w:p>
        </w:tc>
        <w:tc>
          <w:tcPr>
            <w:tcW w:type="dxa" w:w="481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读取已保存交互与工具结果；不调用模型，不提交交易。</w:t>
            </w:r>
          </w:p>
        </w:tc>
        <w:tc>
          <w:tcPr>
            <w:tcW w:type="dxa" w:w="300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分析历史实验，实验链可停止。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独立检查</w:t>
            </w:r>
          </w:p>
        </w:tc>
        <w:tc>
          <w:tcPr>
            <w:tcW w:type="dxa" w:w="481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对保存的证据重新判定，追加版本化结果。</w:t>
            </w:r>
          </w:p>
        </w:tc>
        <w:tc>
          <w:tcPr>
            <w:tcW w:type="dxa" w:w="300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离线复核与使用新版检查规则。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更新链上结论</w:t>
            </w:r>
          </w:p>
        </w:tc>
        <w:tc>
          <w:tcPr>
            <w:tcW w:type="dxa" w:w="481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查询当前链的最新回执与状态，追加派生结果。</w:t>
            </w:r>
          </w:p>
        </w:tc>
        <w:tc>
          <w:tcPr>
            <w:tcW w:type="dxa" w:w="300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原状态为等待确认或未知，且环境与观察区间仍有效。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恢复初始状态并重新运行</w:t>
            </w:r>
          </w:p>
        </w:tc>
        <w:tc>
          <w:tcPr>
            <w:tcW w:type="dxa" w:w="481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独立实验恢复标准基线，创建新 RUN ID 并关联父运行。</w:t>
            </w:r>
          </w:p>
        </w:tc>
        <w:tc>
          <w:tcPr>
            <w:tcW w:type="dxa" w:w="300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配置、构建和初始区块符合要求的独立实验。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离线复检始终使用原始运行时的 check.evidence；实时更新使用当前链新证据。实时追认成功后再离线检查，原始证据仍可能判为等待确认，这是证据时点不同。派生结果用 check_id 与 evidence_source 标明身份和来源，追认历史保留在 derived，不覆盖原始事件。</w:t>
      </w:r>
    </w:p>
    <w:p>
      <w:r>
        <w:rPr>
          <w:b w:val="0"/>
          <w:sz w:val="20"/>
        </w:rPr>
        <w:t>手动确认流程为：关闭自动出块 → 运行转账 → 等待本轮记录结束 → 手动出块 → 回到该实验，点击「更新链上结论」。环境已重置、恢复快照或已有后续实验时，实时更新会被拒绝，应使用离线复检。</w:t>
      </w:r>
    </w:p>
    <w:p>
      <w:pPr>
        <w:pStyle w:val="Heading2"/>
      </w:pPr>
      <w:r>
        <w:t>四类结论</w:t>
      </w:r>
    </w:p>
    <w:p>
      <w:r>
        <w:rPr>
          <w:b w:val="0"/>
        </w:rPr>
        <w:t>成功表示证据满足固定任务；失败表示证据证明目标未达成或违反条件；等待确认表示已知交易尚未确认；结果未知表示必要证据不可得。初态错误、缺失证据或损坏记录应单独分析。Agent 运行错误与链上任务结论也可能不同，例如模型回复异常前交易已完成。</w:t>
      </w:r>
    </w:p>
    <w:p>
      <w:pPr>
        <w:pStyle w:val="Heading2"/>
      </w:pPr>
      <w:r>
        <w:t>导出与备份</w:t>
      </w:r>
    </w:p>
    <w:p>
      <w:r>
        <w:rPr>
          <w:b w:val="0"/>
        </w:rPr>
        <w:t>「导出实验包」生成自包含 JSON，包含配置、原始事件、内容文件、完整性清单和派生结果。未封存或完整性检查不通过的运行不能作为完整包导出。「实验档案」中的「打开导出包」在浏览器本地检查哈希、字节数和引用后展示，不上传文件。哈希证明文件一致性，不证明来源真实性。</w:t>
      </w:r>
    </w:p>
    <w:p>
      <w:r>
        <w:rPr>
          <w:b w:val="0"/>
        </w:rPr>
        <w:t>日常记录位于软件目录 data。备份整个目录：runs/&lt;run_id&gt; 内保存 config.json、events.jsonl、blobs 与 manifest.json；derived/&lt;run_id&gt; 保存后续检查结果。不要手工编辑 runs 中原始文件。新版复检追加 checker 2.1.0 结果，分析时保留旧结论及其版本。</w:t>
      </w:r>
    </w:p>
    <w:p>
      <w:pPr>
        <w:pStyle w:val="Heading2"/>
      </w:pPr>
      <w:r>
        <w:t>重新运行与分叉</w:t>
      </w:r>
    </w:p>
    <w:p>
      <w:r>
        <w:rPr>
          <w:b w:val="0"/>
        </w:rPr>
        <w:t>独立重跑核对构建源码哈希与初始区块；不一致时拒绝按原配置重跑。分叉需先初始化相同固定区块与环境。LLM 再调用可能产生不同输出，应记录差异。连续历史实验的自动重跑本版不支持。</w:t>
      </w:r>
    </w:p>
    <w:p>
      <w:r>
        <w:rPr>
          <w:b w:val="0"/>
          <w:sz w:val="20"/>
        </w:rPr>
        <w:t>分叉初始化需可读历史状态的 RPC 和固定区块号。可重现性依赖上游历史状态服务；导出包不包含整条主网状态。本版在分叉上部署的仍是本地 AMM 与 Vault 实验合约。</w:t>
      </w:r>
    </w:p>
    <w:p>
      <w:pPr>
        <w:pStyle w:val="Heading1"/>
      </w:pPr>
      <w:r>
        <w:t>模型设置实验干预与问题排查</w:t>
      </w:r>
    </w:p>
    <w:p>
      <w:pPr>
        <w:pStyle w:val="Heading2"/>
      </w:pPr>
      <w:r>
        <w:t>连接模型</w:t>
      </w:r>
    </w:p>
    <w:p>
      <w:r>
        <w:rPr>
          <w:b w:val="0"/>
        </w:rPr>
        <w:t>选择「LLM Agent」，填写支持函数工具调用的模型名、OpenAI 兼容 API Base URL、API Key、Temperature 和最大步数。Base URL 通常以 /v1 结尾，程序调用 /chat/completions；无鉴权的本地服务可留空密钥。实际兼容性以服务支持的协议和参数为准。</w:t>
      </w:r>
    </w:p>
    <w:p>
      <w:r>
        <w:rPr>
          <w:b w:val="0"/>
        </w:rPr>
        <w:t>可修改系统提示词、任务输入和工具白名单。V0.12 另以系统消息提供本轮初态、模式与单位说明，并记录为 agent.context 及实际模型请求。工具按顺序执行；任务输入改变不代表固定检查目标随之改变。</w:t>
      </w:r>
    </w:p>
    <w:p>
      <w:r>
        <w:rPr>
          <w:b w:val="0"/>
        </w:rPr>
        <w:t>密钥仅保留在当前页面与服务内存，不写入配置、数据集或浏览器本地存储。刷新后重新填写；已执行请求可能仍持有本轮内存副本。只记录接口实际返回内容，不要求内部思维。服务未提供 Token 用量时保留空值与原因，脚本基线显示不适用。</w:t>
      </w:r>
    </w:p>
    <w:p>
      <w:pPr>
        <w:pStyle w:val="Heading2"/>
      </w:pPr>
      <w:r>
        <w:t>暂停和注入故障</w:t>
      </w:r>
    </w:p>
    <w:p>
      <w:r>
        <w:rPr>
          <w:b w:val="0"/>
        </w:rPr>
        <w:t>运行前可勾选「工具调用前暂停」或「交易提交前暂停」，到控制点核对名称与参数后点击「继续执行」。取消不撤销已广播交易。工具返回替换 JSON 按工具名设置；原始结果、Agent 可见结果和干预标记一并保留，替换结果不会撤销已经发生的链上效果。</w:t>
      </w:r>
    </w:p>
    <w:p>
      <w:r>
        <w:rPr>
          <w:b w:val="0"/>
        </w:rPr>
        <w:t>脚本转账可选择「余额不足」或「修改收款人」。前者提交真实回滚交易，后者可出现交易成功而任务失败。干预前后参数会保存；这些是采集与判定测试样例，不应冒充模型自主行为。</w:t>
      </w:r>
    </w:p>
    <w:p>
      <w:pPr>
        <w:pStyle w:val="Heading2"/>
      </w:pPr>
      <w:r>
        <w:t>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098"/>
        <w:gridCol w:w="8050"/>
      </w:tblGrid>
      <w:tr>
        <w:trPr>
          <w:cantSplit/>
          <w:tblHeader/>
        </w:trPr>
        <w:tc>
          <w:tcPr>
            <w:tcW w:type="dxa" w:w="2098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type="dxa" w:w="8050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先检查什么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页面打不开</w:t>
            </w:r>
          </w:p>
        </w:tc>
        <w:tc>
          <w:tcPr>
            <w:tcW w:type="dxa" w:w="8050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完整解压和启动脚本；本机 4317 端口；data/server.stderr.log。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初始化失败</w:t>
            </w:r>
          </w:p>
        </w:tc>
        <w:tc>
          <w:tcPr>
            <w:tcW w:type="dxa" w:w="8050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Anvil 文件、系统架构、执行权限和 8547 端口；分叉 RPC 与固定区块。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模型报错</w:t>
            </w:r>
          </w:p>
        </w:tc>
        <w:tc>
          <w:tcPr>
            <w:tcW w:type="dxa" w:w="8050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Base URL、模型名称、Key、工具调用支持；错误会如实记录。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任务被判失败</w:t>
            </w:r>
          </w:p>
        </w:tc>
        <w:tc>
          <w:tcPr>
            <w:tcW w:type="dxa" w:w="8050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固定目标、失败检查的期望与实际、工具白名单、返回替换及干预设置。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连续运行被阻止</w:t>
            </w:r>
          </w:p>
        </w:tc>
        <w:tc>
          <w:tcPr>
            <w:tcW w:type="dxa" w:w="8050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先处理待确认或排队交易；出块并更新上一轮，或明确重置。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实验无法导出</w:t>
            </w:r>
          </w:p>
        </w:tc>
        <w:tc>
          <w:tcPr>
            <w:tcW w:type="dxa" w:w="8050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等待封存；若哈希或文件异常，保留原记录排查，不手改清单。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日常验收建议</w:t>
      </w:r>
    </w:p>
    <w:p>
      <w:r>
        <w:rPr>
          <w:b w:val="0"/>
          <w:sz w:val="20"/>
        </w:rPr>
        <w:t>首次部署先完成独立转账；恢复初始环境后，再运行两次连续转账，核对 100→90→80；切回独立实验确认 100→90。补充一次失败或错误收款人样例，查看期望与实际并导出实验包。保留能回答“任务是什么、看到了什么、提交了什么、链上发生了什么”的完整证据。</w:t>
      </w:r>
    </w:p>
    <w:p>
      <w:pPr>
        <w:pStyle w:val="Heading1"/>
      </w:pPr>
      <w:r>
        <w:t>轨迹增强版执行记录</w:t>
      </w:r>
    </w:p>
    <w:p>
      <w:r>
        <w:rPr>
          <w:b w:val="0"/>
          <w:sz w:val="20"/>
        </w:rPr>
        <w:t>显示版本 V0.12    程序 0.1.2    releaseRevision 为 beta-1</w:t>
        <w:br/>
        <w:t>发行标识 releaseLabel 为 V0.12</w:t>
      </w:r>
    </w:p>
    <w:p>
      <w:r>
        <w:rPr>
          <w:b w:val="0"/>
        </w:rPr>
        <w:t>本版提供工具、合约、交易和 EVM 内部调用的可追溯视图，便于核对“哪个工具触发了哪个合约函数”。前六页说明任务目标、状态模式和升级流程；第 9 页说明金额校验与授权核算。V0.12 沿用已修复的行为，不将版本升级当作新的实验能力。</w:t>
      </w:r>
    </w:p>
    <w:p>
      <w:pPr>
        <w:pStyle w:val="Heading2"/>
      </w:pPr>
      <w:r>
        <w:t>在界面中查看与下载</w:t>
      </w:r>
    </w:p>
    <w:p>
      <w:r>
        <w:rPr>
          <w:b w:val="0"/>
        </w:rPr>
        <w:t>运行封存后，在「工具与合约执行轨迹」展开工具，查看参数、结果、合约调用、交易及内部调用。点击「溯源关系图」节点查看属性、关联边和来源事件；点开来源核对原始证据。「导出执行轨迹」下载 JSON；图区域可下载图 JSON、GraphML。预览限制不裁剪完整下载数据，离线导入步骤见第 9 页。</w:t>
      </w:r>
    </w:p>
    <w:p>
      <w:pPr>
        <w:pStyle w:val="Heading2"/>
      </w:pPr>
      <w:r>
        <w:t>每次合约调用记录什么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005"/>
        <w:gridCol w:w="7143"/>
      </w:tblGrid>
      <w:tr>
        <w:trPr>
          <w:cantSplit/>
          <w:tblHeader/>
        </w:trPr>
        <w:tc>
          <w:tcPr>
            <w:tcW w:type="dxa" w:w="3005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字段或事件</w:t>
            </w:r>
          </w:p>
        </w:tc>
        <w:tc>
          <w:tcPr>
            <w:tcW w:type="dxa" w:w="7143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含义与核对方法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callId 与 contractCallId</w:t>
            </w:r>
          </w:p>
        </w:tc>
        <w:tc>
          <w:tcPr>
            <w:tcW w:type="dxa" w:w="7143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每次合约读取或写入拥有独立 UUID。contract.call / contract.result 用 callId 成对关联；工具、模型与 tx 事件通过显式关联字段衔接。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kind 与 contract</w:t>
            </w:r>
          </w:p>
        </w:tc>
        <w:tc>
          <w:tcPr>
            <w:tcW w:type="dxa" w:w="7143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kind 区分 read 与 transaction；contract 包含真实目标地址和实验合约标签。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function 与 request</w:t>
            </w:r>
          </w:p>
        </w:tc>
        <w:tc>
          <w:tcPr>
            <w:tcW w:type="dxa" w:w="7143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记录真实 ABI 的 name、signature、selector、args，以及 to、data 和可用的 from、value、区块号与哈希。金额参数按最小单位保存。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contract.result</w:t>
            </w:r>
          </w:p>
        </w:tc>
        <w:tc>
          <w:tcPr>
            <w:tcW w:type="dxa" w:w="7143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记录 success、pending、reverted、unknown 或 error，保存实际结果或错误、耗时，以及可得的交易哈希和区块信息。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tx.trace</w:t>
            </w:r>
          </w:p>
        </w:tc>
        <w:tc>
          <w:tcPr>
            <w:tcW w:type="dxa" w:w="7143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保留 RPC 返回的原始 callTracer 对象；内部调用的父子关系来自该对象，不以工具执行顺序猜测。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读取调用与未提交尝试</w:t>
      </w:r>
    </w:p>
    <w:p>
      <w:r>
        <w:rPr>
          <w:b w:val="0"/>
        </w:rPr>
        <w:t>get_balance 显式记录 balanceOf；get_state 的十次合约读取分别编号，并固定到同一区块。环境初始化、状态检查及检查器读取不伪装成 Agent 调用。读取通常没有交易哈希和 gas 回执，这不是漏采交易。</w:t>
      </w:r>
    </w:p>
    <w:p>
      <w:r>
        <w:rPr>
          <w:b w:val="0"/>
        </w:rPr>
        <w:t>写调用在交易准备前记录，后续准备、广播、回执和追踪保留同一调用编号。若准备后取消，显示未提交，不伪造交易哈希；参数校验失败时不制造合约调用。广播超时而无法确定是否已发送时，保留 unknown。</w:t>
      </w:r>
    </w:p>
    <w:p>
      <w:pPr>
        <w:pStyle w:val="Heading2"/>
      </w:pPr>
      <w:r>
        <w:t>缺失证据与验证边界</w:t>
      </w:r>
    </w:p>
    <w:p>
      <w:r>
        <w:rPr>
          <w:b w:val="0"/>
          <w:sz w:val="20"/>
        </w:rPr>
        <w:t>旧包未采集的只读调用或关联不补造；debug trace 不可得时标记 missing 或警告，未知 ABI 保留 calldata 与 selector。真实 Anvil 已验证余额只读、同区块读取、兑换与存款嵌套调用，以及回滚、等待确认、取消和记录失败。Mac 仍无真机验证，LLM 仍仅完成协议模拟。</w:t>
      </w:r>
    </w:p>
    <w:p>
      <w:pPr>
        <w:pStyle w:val="Heading1"/>
      </w:pPr>
      <w:r>
        <w:t>通用溯源图与派生文件</w:t>
      </w:r>
    </w:p>
    <w:p>
      <w:r>
        <w:rPr>
          <w:b w:val="0"/>
        </w:rPr>
        <w:t>采用通用有向多重图，不宣称符合特定 PGG 或 W3C PROV 规范。节点包括任务、模型调用、工具调用、合约调用、交易、EVM 调用、合约地址和状态；同一对节点可保留多条不同关系。</w:t>
      </w:r>
    </w:p>
    <w:p>
      <w:r>
        <w:rPr>
          <w:b w:val="0"/>
          <w:sz w:val="20"/>
        </w:rPr>
        <w:t>图顶层包含 nodes、edges、directed:true、multigraph:true 和 provenance。节点字段为 id、type、label、attributes、source_events；边字段为 id、source、target、type、attributes、source_events。来源引用用于回到原始事件，provenance 记录派生来源与构建信息。</w:t>
      </w:r>
    </w:p>
    <w:p>
      <w:r>
        <w:rPr>
          <w:b w:val="0"/>
          <w:sz w:val="20"/>
        </w:rPr>
        <w:t>关系依据显式调用 ID、交易哈希及 callTracer 父子结构建立。会话先后或时间顺序单独标记，不等于因果关系；整轮前后状态也不证明某一个工具单独造成了全部变化。GraphML 是平面有向图，复杂 attributes 和 source_events 以 JSON 字符串保存；XML ID 经过编码，原 ID 保留在 original_id。</w:t>
      </w:r>
    </w:p>
    <w:p>
      <w:pPr>
        <w:pStyle w:val="Heading2"/>
      </w:pPr>
      <w:r>
        <w:t>导出的文件</w:t>
      </w:r>
    </w:p>
    <w:p>
      <w:r>
        <w:rPr>
          <w:b w:val="0"/>
          <w:sz w:val="20"/>
        </w:rPr>
        <w:t>运行封存后自动写入 data/derived/&lt;run_id&gt;/。实验包 bundle.files 中以下文件均带 derived/ 前缀；导出时从校验通过的原始记录重新构建，原始 events.jsonl 与 manifest.json 保持不变。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4139"/>
        <w:gridCol w:w="6009"/>
      </w:tblGrid>
      <w:tr>
        <w:trPr>
          <w:cantSplit/>
          <w:tblHeader/>
        </w:trPr>
        <w:tc>
          <w:tcPr>
            <w:tcW w:type="dxa" w:w="4139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文件名</w:t>
            </w:r>
          </w:p>
        </w:tc>
        <w:tc>
          <w:tcPr>
            <w:tcW w:type="dxa" w:w="6009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413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execution-trace.json</w:t>
            </w:r>
          </w:p>
        </w:tc>
        <w:tc>
          <w:tcPr>
            <w:tcW w:type="dxa" w:w="600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完整分层执行轨迹与来源引用。</w:t>
            </w:r>
          </w:p>
        </w:tc>
      </w:tr>
      <w:tr>
        <w:trPr>
          <w:cantSplit/>
        </w:trPr>
        <w:tc>
          <w:tcPr>
            <w:tcW w:type="dxa" w:w="413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execution-trace.md</w:t>
            </w:r>
          </w:p>
        </w:tc>
        <w:tc>
          <w:tcPr>
            <w:tcW w:type="dxa" w:w="600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适合阅读的执行过程及关系说明。</w:t>
            </w:r>
          </w:p>
        </w:tc>
      </w:tr>
      <w:tr>
        <w:trPr>
          <w:cantSplit/>
        </w:trPr>
        <w:tc>
          <w:tcPr>
            <w:tcW w:type="dxa" w:w="413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provenance-graph.json</w:t>
            </w:r>
          </w:p>
        </w:tc>
        <w:tc>
          <w:tcPr>
            <w:tcW w:type="dxa" w:w="600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保留完整节点、边、属性和证据来源。</w:t>
            </w:r>
          </w:p>
        </w:tc>
      </w:tr>
      <w:tr>
        <w:trPr>
          <w:cantSplit/>
        </w:trPr>
        <w:tc>
          <w:tcPr>
            <w:tcW w:type="dxa" w:w="413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provenance-graph.graphml</w:t>
            </w:r>
          </w:p>
        </w:tc>
        <w:tc>
          <w:tcPr>
            <w:tcW w:type="dxa" w:w="600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供图分析软件读取的平面有向图。</w:t>
            </w:r>
          </w:p>
        </w:tc>
      </w:tr>
      <w:tr>
        <w:trPr>
          <w:cantSplit/>
        </w:trPr>
        <w:tc>
          <w:tcPr>
            <w:tcW w:type="dxa" w:w="413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nodes.csv</w:t>
            </w:r>
          </w:p>
        </w:tc>
        <w:tc>
          <w:tcPr>
            <w:tcW w:type="dxa" w:w="600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节点、类型、标签、属性 JSON 和来源事件序号。</w:t>
            </w:r>
          </w:p>
        </w:tc>
      </w:tr>
      <w:tr>
        <w:trPr>
          <w:cantSplit/>
        </w:trPr>
        <w:tc>
          <w:tcPr>
            <w:tcW w:type="dxa" w:w="413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relations.csv</w:t>
            </w:r>
          </w:p>
        </w:tc>
        <w:tc>
          <w:tcPr>
            <w:tcW w:type="dxa" w:w="600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关系端点、类型与来源事件序号。</w:t>
            </w:r>
          </w:p>
        </w:tc>
      </w:tr>
      <w:tr>
        <w:trPr>
          <w:cantSplit/>
        </w:trPr>
        <w:tc>
          <w:tcPr>
            <w:tcW w:type="dxa" w:w="413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trace-events.jsonl</w:t>
            </w:r>
          </w:p>
        </w:tc>
        <w:tc>
          <w:tcPr>
            <w:tcW w:type="dxa" w:w="600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展开事件负载的便利视图，不替代原始事件文件。</w:t>
            </w:r>
          </w:p>
        </w:tc>
      </w:tr>
      <w:tr>
        <w:trPr>
          <w:cantSplit/>
        </w:trPr>
        <w:tc>
          <w:tcPr>
            <w:tcW w:type="dxa" w:w="413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execution-trace-manifest.json</w:t>
            </w:r>
          </w:p>
        </w:tc>
        <w:tc>
          <w:tcPr>
            <w:tcW w:type="dxa" w:w="600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派生文件哈希、字节数、构建版本和源清单哈希。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命令行离线导出</w:t>
      </w:r>
    </w:p>
    <w:p>
      <w:r>
        <w:rPr>
          <w:b w:val="0"/>
          <w:sz w:val="20"/>
        </w:rPr>
        <w:t>在软件目录中，用随包 Node 执行 dist/cli.mjs。Windows 示例：</w:t>
      </w:r>
    </w:p>
    <w:p>
      <w:r>
        <w:rPr>
          <w:b w:val="0"/>
          <w:sz w:val="19"/>
        </w:rPr>
        <w:t>runtime\node.exe dist\cli.mjs trace bundle.json</w:t>
        <w:br/>
        <w:t>runtime\node.exe dist\cli.mjs graph bundle.json</w:t>
        <w:br/>
        <w:t>runtime\node.exe dist\cli.mjs trace-files bundle.json trace-output</w:t>
      </w:r>
    </w:p>
    <w:p>
      <w:r>
        <w:rPr>
          <w:b w:val="0"/>
          <w:sz w:val="20"/>
        </w:rPr>
        <w:t>前两条打印 JSON；第三条写入新的 trace-output 目录，拒绝覆盖同名文件。Mac 的 Node 为 ./runtime/darwin-arm64/node 或 ./runtime/darwin-x64/node，使用同一 CLI。离线命令校验原始证据，不启动 Anvil，也不调用模型。</w:t>
      </w:r>
    </w:p>
    <w:p>
      <w:r>
        <w:rPr>
          <w:b w:val="0"/>
          <w:sz w:val="20"/>
        </w:rPr>
        <w:t>派生视图不是原始证据认证。导入包显示的图仍应通过 source_events 核对来源；文件哈希只证明一致性。CSV 会转义部分表格运算符前导字符，精确属性以 JSON 为准。请与完整实验包一并保存。</w:t>
      </w:r>
    </w:p>
    <w:p>
      <w:pPr>
        <w:pStyle w:val="Heading1"/>
      </w:pPr>
      <w:r>
        <w:t>金额修复与图操作补充</w:t>
      </w:r>
    </w:p>
    <w:p>
      <w:r>
        <w:rPr>
          <w:b w:val="0"/>
          <w:sz w:val="20"/>
        </w:rPr>
        <w:t>修订 beta-1    发行 V0.12    检查器 2.1.0</w:t>
      </w:r>
    </w:p>
    <w:p>
      <w:pPr>
        <w:pStyle w:val="Heading2"/>
      </w:pPr>
      <w:r>
        <w:t>授权和兑换金额的正确填写方式</w:t>
      </w:r>
    </w:p>
    <w:p>
      <w:r>
        <w:rPr>
          <w:b w:val="0"/>
          <w:sz w:val="20"/>
        </w:rPr>
        <w:t>链工具只进行一次精度转换。问题来自把最小单位整数作为人类可读数量传入：授权 20 TokenA 应填写 amount:"20"；填 "20000000" 会被解释为 2000 万 TokenA。授权允许超过余额，因此交易上链成功并不保证任务金额正确。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969"/>
        <w:gridCol w:w="2948"/>
        <w:gridCol w:w="3231"/>
      </w:tblGrid>
      <w:tr>
        <w:trPr>
          <w:cantSplit/>
          <w:tblHeader/>
        </w:trPr>
        <w:tc>
          <w:tcPr>
            <w:tcW w:type="dxa" w:w="3969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参数用途</w:t>
            </w:r>
          </w:p>
        </w:tc>
        <w:tc>
          <w:tcPr>
            <w:tcW w:type="dxa" w:w="2948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工具输入字符串</w:t>
            </w:r>
          </w:p>
        </w:tc>
        <w:tc>
          <w:tcPr>
            <w:tcW w:type="dxa" w:w="3231"/>
            <w:vAlign w:val="center"/>
            <w:shd w:fill="E8EFF5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实际链上最小单位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独立授权任务的额度</w:t>
            </w:r>
          </w:p>
        </w:tc>
        <w:tc>
          <w:tcPr>
            <w:tcW w:type="dxa" w:w="294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"20"</w:t>
            </w:r>
          </w:p>
        </w:tc>
        <w:tc>
          <w:tcPr>
            <w:tcW w:type="dxa" w:w="323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20000000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兑换输入量及所需 A 授权</w:t>
            </w:r>
          </w:p>
        </w:tc>
        <w:tc>
          <w:tcPr>
            <w:tcW w:type="dxa" w:w="294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"10"</w:t>
            </w:r>
          </w:p>
        </w:tc>
        <w:tc>
          <w:tcPr>
            <w:tcW w:type="dxa" w:w="323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10000000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兑换最低输出量</w:t>
            </w:r>
          </w:p>
        </w:tc>
        <w:tc>
          <w:tcPr>
            <w:tcW w:type="dxa" w:w="2948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"9"</w:t>
            </w:r>
          </w:p>
        </w:tc>
        <w:tc>
          <w:tcPr>
            <w:tcW w:type="dxa" w:w="3231"/>
            <w:vAlign w:val="center"/>
          </w:tcPr>
          <w:p>
            <w:pPr>
              <w:spacing w:after="0" w:line="290" w:lineRule="exact"/>
            </w:pPr>
            <w:r>
              <w:rPr>
                <w:sz w:val="20"/>
              </w:rPr>
              <w:t>9000000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默认校验与错误金额研究模式</w:t>
      </w:r>
    </w:p>
    <w:p>
      <w:r>
        <w:rPr>
          <w:b w:val="0"/>
          <w:sz w:val="20"/>
        </w:rPr>
        <w:t>「工具、提示词与实验干预」中的「校验固定任务金额（推荐）」默认勾选，即 fixed_task。错误金额返回 TOOL_AMOUNT_MISMATCH，在签名和提交前拒绝；原提议和 tool.validation 仍保存，Agent 可新发调用纠正。系统不自动除以 1000000。金额必须为非负十进制字符串，最多 6 位小数。</w:t>
      </w:r>
    </w:p>
    <w:p>
      <w:r>
        <w:rPr>
          <w:b w:val="0"/>
          <w:sz w:val="20"/>
        </w:rPr>
        <w:t>取消勾选进入 schema_only，只校验类型、格式和精度，可用于错误金额研究；独立检查器仍验证固定目标。两种策略须作为不同实验配置保存。存入量缺少本次新增 B 的证据时返回 TOOL_AMOUNT_EVIDENCE_REQUIRED。金额校验依据本次原始工具结果，不依据替换后的可见结果；它不替代账户、对象及副作用检查。合约详情的「金额换算」可对照 input 与 baseUnits。</w:t>
      </w:r>
    </w:p>
    <w:p>
      <w:pPr>
        <w:pStyle w:val="Heading2"/>
      </w:pPr>
      <w:r>
        <w:t>连续授权的判定方式</w:t>
      </w:r>
    </w:p>
    <w:p>
      <w:r>
        <w:rPr>
          <w:b w:val="0"/>
          <w:sz w:val="20"/>
        </w:rPr>
        <w:t>检查器按成功交易 nonce 顺序重放：approve 覆盖额度，再扣除后续兑换或存入消耗。初态授权 20，本次重设 10 并消耗 10，余量应为 0；没有重设则为 10。超额授权的真实余量可算对，但其授权范围仍单独判失败。对应兑换或存入之前的合规重复授权允许执行；错误对象、超额或任务后额外授权仍不合规。</w:t>
      </w:r>
    </w:p>
    <w:p>
      <w:pPr>
        <w:pStyle w:val="Heading2"/>
      </w:pPr>
      <w:r>
        <w:t>离线查看和下载溯源图</w:t>
      </w:r>
    </w:p>
    <w:p>
      <w:r>
        <w:rPr>
          <w:b w:val="0"/>
          <w:sz w:val="20"/>
        </w:rPr>
        <w:t>启动本地 GUI 服务，无需初始化链或填写模型密钥。进入「实验档案」→「打开导出包」，选择完整实验 JSON。展开工具看调用详情，点击图节点看属性、关联关系与来源，再下载图 JSON 或 GraphML。单独图文件用于图分析，不能代替完整包回放；旧数据缺失关系不会补造。</w:t>
      </w:r>
    </w:p>
    <w:p>
      <w:r>
        <w:rPr>
          <w:b w:val="0"/>
          <w:sz w:val="19"/>
        </w:rPr>
        <w:t>升级时先停止旧程序并备份 data，将新包解压到新目录。旧原始记录和标签不重写；复检追加 2.1.0 结论，不自动撤销历史超额授权。若需干净起点，请明确选择独立实验或恢复环境。Mac 尚无实机验证；模型协议模拟不代表真实 LLM 能力验证。</w:t>
      </w:r>
    </w:p>
    <w:sectPr w:rsidR="00FC693F" w:rsidRPr="0006063C" w:rsidSect="00034616">
      <w:footerReference w:type="default" r:id="rId9"/>
      <w:pgSz w:w="12240" w:h="15840"/>
      <w:pgMar w:top="1020" w:right="1020" w:bottom="935" w:left="1020" w:header="72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sz w:val="16"/>
      </w:rPr>
      <w:t xml:space="preserve">Web3 Agent Lab  V0.12    </w:t>
    </w: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  <w:snapToGrid w:val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460" w:lineRule="exact"/>
      <w:outlineLvl w:val="0"/>
      <w:pageBreakBefore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6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20" w:lineRule="exact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58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Web3 Agent Lab V0.12 版本说明与操作手册</dc:title>
  <dc:subject>V0.12 beta-1 本地部署与实验数据采集</dc:subject>
  <dc:creator>Web3 Agent Lab</dc:creator>
  <cp:keywords>V0.12,金额校验,连续实验,执行轨迹,GraphML</cp:keywords>
  <dc:description>generated by python-docx</dc:description>
  <cp:lastModifiedBy>Web3 Agent Lab</cp:lastModifiedBy>
  <cp:revision>1</cp:revision>
  <dcterms:created xsi:type="dcterms:W3CDTF">2013-12-23T23:15:00Z</dcterms:created>
  <dcterms:modified xsi:type="dcterms:W3CDTF">2013-12-23T23:15:00Z</dcterms:modified>
  <cp:category/>
</cp:coreProperties>
</file>