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Eduonix Introduction To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conclusion of the course you should now start to be comfortable with the following attributes of Go code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How to use Golang language types such as Goroutines, pointers, functions  and structs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your own rest api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interface with external api’s like amazon aws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concurrent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Use Golang packages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install dependencies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export dependencies via github(as in the Docker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Use the Golang toolchain 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bind to other languages and frameworks(Android, Python)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static and dynamic link libraries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dynamically link to external  dynamic link libraries (video streaming)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Create simple applications for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Desktop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Cloud (Docker, Rest, App Engine, AWS)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Mobile (Android)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to from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predict there will be a big uptake in Go language development and the growth will be driven by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Cloud programming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Mobile programming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Systems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programming growth will be driven by the demand for IoT, Golangs simplicity w.r.t creating concurrent code will drive demand for Go Cloud development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programming is already beginning to eclipse desktop application development. Golangs one language toolchain and the simplicity it allows for complicated and difficult task such as cross compiling will drive demand for Go Mobile development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decrease in cost for sophisticated and powerful embedded platforms like ARM,</w:t>
      </w:r>
    </w:p>
    <w:p w:rsidR="00000000" w:rsidDel="00000000" w:rsidP="00000000" w:rsidRDefault="00000000" w:rsidRPr="00000000">
      <w:pPr>
        <w:contextualSpacing w:val="0"/>
      </w:pPr>
      <w:r w:rsidDel="00000000" w:rsidR="00000000" w:rsidRPr="00000000">
        <w:rPr>
          <w:rtl w:val="0"/>
        </w:rPr>
        <w:t xml:space="preserve">the application development space for the IoT will come to dominate the market for development skills. This will primarily will be a systems programming domain and will  drive demand for Go Systems programming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