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thics-statement"/>
    <w:p>
      <w:pPr>
        <w:pStyle w:val="Heading2"/>
      </w:pPr>
      <w:r>
        <w:t xml:space="preserve">Ethics Statement</w:t>
      </w:r>
    </w:p>
    <w:p>
      <w:pPr>
        <w:pStyle w:val="FirstParagraph"/>
      </w:pPr>
      <w:r>
        <w:t xml:space="preserve">This study did not involve human subjects, animal experiments, or the collection of new patient data. All datasets used in this research — the UCI Heart Disease dataset (Cleveland Clinic Foundation) and the Kaggle Heart Disease dataset — are publicly available benchmark datasets with no individually identifiable patient information. Ethical approval was therefore not required.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2026-03-27T08:19:10Z</dcterms:created>
  <dcterms:modified xsi:type="dcterms:W3CDTF">2026-03-27T08:19:10Z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