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</w:pPr>
      <w:r>
        <w:t xml:space="preserve">Tabular-to-text Transformers exhibit Specificity Collapse on external validation: a single out-of-distribution categorical token reduces attention to a critical clinical feature by 71.5%, causing false-positive bias.</w:t>
      </w:r>
    </w:p>
    <w:p>
      <w:pPr>
        <w:numPr>
          <w:ilvl w:val="0"/>
          <w:numId w:val="1001"/>
        </w:numPr>
      </w:pPr>
      <w:r>
        <w:t xml:space="preserve">LLM few-shot clinical prediction follows an inverted-U pattern: optimal at 5-shot, collapsing at 10-shot to match Transformer degradation magnitude, consistent with in-context overfitting.</w:t>
      </w:r>
    </w:p>
    <w:p>
      <w:pPr>
        <w:numPr>
          <w:ilvl w:val="0"/>
          <w:numId w:val="1001"/>
        </w:numPr>
      </w:pPr>
      <w:r>
        <w:t xml:space="preserve">Mean imputation paradoxically worsens tabular-to-text model performance (ΔAUC = −0.125) because tokenization-level familiarity outweighs statistical accuracy.</w:t>
      </w:r>
    </w:p>
    <w:p>
      <w:pPr>
        <w:numPr>
          <w:ilvl w:val="0"/>
          <w:numId w:val="1001"/>
        </w:numPr>
      </w:pPr>
      <w:r>
        <w:t xml:space="preserve">Transformers and LLMs exhibit mechanistically distinct generalization failure modes — attention-routing disruption versus calibration drift — requiring different deployment mitigation strategies.</w:t>
      </w:r>
    </w:p>
    <w:p>
      <w:pPr>
        <w:numPr>
          <w:ilvl w:val="0"/>
          <w:numId w:val="1001"/>
        </w:numPr>
      </w:pPr>
      <w:r>
        <w:t xml:space="preserve">The 5-shot LLM is the only neural model achieving deployment-stable specificity (&gt;0.60) with AUC &gt;0.73 on external validation without retraining.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2026-03-27T08:01:49Z</dcterms:created>
  <dcterms:modified xsi:type="dcterms:W3CDTF">2026-03-27T08:01:49Z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