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ind w:firstLine="0" w:firstLineChars="0"/>
        <w:jc w:val="center"/>
        <w:rPr>
          <w:rFonts w:cs="Times New Roman"/>
          <w:b/>
          <w:bCs/>
        </w:rPr>
      </w:pPr>
      <w:bookmarkStart w:id="0" w:name="OLE_LINK1"/>
      <w:r>
        <w:rPr>
          <w:rFonts w:ascii="Times New Roman" w:hAnsi="Times New Roman"/>
          <w:b/>
          <w:kern w:val="0"/>
          <w:sz w:val="44"/>
          <w:szCs w:val="44"/>
        </w:rPr>
        <w:t>Supplementary</w:t>
      </w:r>
      <w:bookmarkEnd w:id="0"/>
      <w:r>
        <w:rPr>
          <w:rFonts w:ascii="Times New Roman" w:hAnsi="Times New Roman"/>
          <w:b/>
          <w:kern w:val="0"/>
          <w:sz w:val="44"/>
          <w:szCs w:val="44"/>
        </w:rPr>
        <w:t xml:space="preserve"> Materials for</w:t>
      </w:r>
      <w:r>
        <w:rPr>
          <w:rFonts w:cs="Times New Roman"/>
          <w:b/>
          <w:bCs/>
        </w:rPr>
        <w:t xml:space="preserve"> </w:t>
      </w:r>
    </w:p>
    <w:p>
      <w:pPr>
        <w:spacing w:before="326" w:beforeLines="100" w:after="489" w:afterLines="150" w:line="360" w:lineRule="auto"/>
        <w:ind w:firstLine="0" w:firstLineChars="0"/>
        <w:jc w:val="center"/>
        <w:rPr>
          <w:rFonts w:cs="Arial"/>
          <w:szCs w:val="24"/>
          <w:lang w:val="en-GB"/>
        </w:rPr>
      </w:pPr>
      <w:bookmarkStart w:id="1" w:name="_Ref58103713"/>
      <w:bookmarkStart w:id="2" w:name="_Ref57554128"/>
      <w:r>
        <w:rPr>
          <w:rFonts w:cs="Times New Roman"/>
          <w:b/>
          <w:sz w:val="28"/>
        </w:rPr>
        <w:t xml:space="preserve">Thermodynamic conditions control the valences state of semimetals </w:t>
      </w:r>
      <w:r>
        <w:rPr>
          <w:rFonts w:hint="eastAsia" w:cs="Times New Roman"/>
          <w:b/>
          <w:sz w:val="28"/>
        </w:rPr>
        <w:t>thus</w:t>
      </w:r>
      <w:r>
        <w:rPr>
          <w:rFonts w:cs="Times New Roman"/>
          <w:b/>
          <w:sz w:val="28"/>
        </w:rPr>
        <w:t xml:space="preserve"> affecting the behavior of PGE in magmatic sulfide liquids</w:t>
      </w:r>
    </w:p>
    <w:p>
      <w:pPr>
        <w:spacing w:line="276" w:lineRule="auto"/>
        <w:ind w:firstLine="0" w:firstLineChars="0"/>
        <w:jc w:val="center"/>
        <w:rPr>
          <w:rFonts w:cs="Arial"/>
          <w:b/>
          <w:bCs/>
          <w:szCs w:val="24"/>
          <w:vertAlign w:val="superscript"/>
          <w:lang w:val="en-GB"/>
        </w:rPr>
      </w:pPr>
      <w:r>
        <w:rPr>
          <w:rFonts w:cs="Arial"/>
          <w:b/>
          <w:bCs/>
          <w:szCs w:val="24"/>
          <w:lang w:val="en-GB"/>
        </w:rPr>
        <w:t>Qing-Lin Liang</w:t>
      </w:r>
      <w:r>
        <w:rPr>
          <w:rFonts w:cs="Arial"/>
          <w:b/>
          <w:bCs/>
          <w:szCs w:val="24"/>
          <w:vertAlign w:val="superscript"/>
          <w:lang w:val="en-GB"/>
        </w:rPr>
        <w:t>1</w:t>
      </w:r>
      <w:r>
        <w:rPr>
          <w:rFonts w:cs="Arial"/>
          <w:b/>
          <w:bCs/>
          <w:szCs w:val="24"/>
          <w:lang w:val="en-GB"/>
        </w:rPr>
        <w:t>, Xie-Yan Song</w:t>
      </w:r>
      <w:r>
        <w:rPr>
          <w:rFonts w:cs="Arial"/>
          <w:b/>
          <w:bCs/>
          <w:szCs w:val="24"/>
          <w:vertAlign w:val="superscript"/>
          <w:lang w:val="en-GB"/>
        </w:rPr>
        <w:t>1 *</w:t>
      </w:r>
      <w:r>
        <w:rPr>
          <w:rFonts w:cs="Arial"/>
          <w:b/>
          <w:bCs/>
          <w:szCs w:val="24"/>
          <w:lang w:val="en-GB"/>
        </w:rPr>
        <w:t>, Richard Wirth</w:t>
      </w:r>
      <w:r>
        <w:rPr>
          <w:rFonts w:cs="Arial"/>
          <w:b/>
          <w:bCs/>
          <w:szCs w:val="24"/>
          <w:vertAlign w:val="superscript"/>
          <w:lang w:val="en-GB"/>
        </w:rPr>
        <w:t>2</w:t>
      </w:r>
      <w:r>
        <w:rPr>
          <w:rFonts w:cs="Arial"/>
          <w:b/>
          <w:bCs/>
          <w:szCs w:val="24"/>
          <w:lang w:val="en-GB"/>
        </w:rPr>
        <w:t xml:space="preserve">, </w:t>
      </w:r>
      <w:r>
        <w:rPr>
          <w:rFonts w:hint="eastAsia" w:cs="Arial"/>
          <w:b/>
          <w:bCs/>
          <w:szCs w:val="24"/>
          <w:lang w:val="en-GB"/>
        </w:rPr>
        <w:t>Lie</w:t>
      </w:r>
      <w:r>
        <w:rPr>
          <w:rFonts w:cs="Arial"/>
          <w:b/>
          <w:bCs/>
          <w:szCs w:val="24"/>
          <w:lang w:val="en-GB"/>
        </w:rPr>
        <w:t>-Meng Chen</w:t>
      </w:r>
      <w:r>
        <w:rPr>
          <w:rFonts w:cs="Arial"/>
          <w:b/>
          <w:bCs/>
          <w:szCs w:val="24"/>
          <w:vertAlign w:val="superscript"/>
          <w:lang w:val="en-GB"/>
        </w:rPr>
        <w:t>1</w:t>
      </w:r>
      <w:r>
        <w:rPr>
          <w:rFonts w:cs="Arial"/>
          <w:b/>
          <w:bCs/>
          <w:szCs w:val="24"/>
          <w:lang w:val="en-GB"/>
        </w:rPr>
        <w:t>, Song-Yue Yu</w:t>
      </w:r>
      <w:bookmarkStart w:id="3" w:name="_Hlk45200266"/>
      <w:r>
        <w:rPr>
          <w:rFonts w:cs="Arial"/>
          <w:b/>
          <w:bCs/>
          <w:szCs w:val="24"/>
          <w:vertAlign w:val="superscript"/>
          <w:lang w:val="en-GB"/>
        </w:rPr>
        <w:t>1</w:t>
      </w:r>
      <w:bookmarkEnd w:id="3"/>
      <w:r>
        <w:rPr>
          <w:rFonts w:cs="Arial"/>
          <w:b/>
          <w:bCs/>
          <w:szCs w:val="24"/>
          <w:lang w:val="en-GB"/>
        </w:rPr>
        <w:t>, Nadezhda A. Krivolutskaya</w:t>
      </w:r>
      <w:r>
        <w:rPr>
          <w:rFonts w:cs="Arial"/>
          <w:b/>
          <w:bCs/>
          <w:szCs w:val="24"/>
          <w:vertAlign w:val="superscript"/>
          <w:lang w:val="en-GB"/>
        </w:rPr>
        <w:t>3</w:t>
      </w:r>
      <w:r>
        <w:rPr>
          <w:rFonts w:cs="Arial"/>
          <w:b/>
          <w:bCs/>
          <w:szCs w:val="24"/>
          <w:lang w:val="en-GB"/>
        </w:rPr>
        <w:t xml:space="preserve">, </w:t>
      </w:r>
      <w:r>
        <w:rPr>
          <w:rFonts w:hint="eastAsia" w:cs="Arial"/>
          <w:b/>
          <w:bCs/>
          <w:szCs w:val="24"/>
          <w:lang w:val="en-GB"/>
        </w:rPr>
        <w:t>Zhi-Hui</w:t>
      </w:r>
      <w:r>
        <w:rPr>
          <w:rFonts w:cs="Arial"/>
          <w:b/>
          <w:bCs/>
          <w:szCs w:val="24"/>
          <w:lang w:val="en-GB"/>
        </w:rPr>
        <w:t xml:space="preserve"> </w:t>
      </w:r>
      <w:r>
        <w:rPr>
          <w:rFonts w:hint="eastAsia" w:cs="Arial"/>
          <w:b/>
          <w:bCs/>
          <w:szCs w:val="24"/>
          <w:lang w:val="en-GB"/>
        </w:rPr>
        <w:t>Dai</w:t>
      </w:r>
      <w:r>
        <w:rPr>
          <w:rFonts w:cs="Arial"/>
          <w:b/>
          <w:bCs/>
          <w:szCs w:val="24"/>
          <w:vertAlign w:val="superscript"/>
          <w:lang w:val="en-GB"/>
        </w:rPr>
        <w:t>1</w:t>
      </w:r>
    </w:p>
    <w:p>
      <w:pPr>
        <w:spacing w:line="276" w:lineRule="auto"/>
        <w:ind w:firstLine="0" w:firstLineChars="0"/>
        <w:jc w:val="center"/>
        <w:rPr>
          <w:rFonts w:cs="Arial"/>
          <w:szCs w:val="24"/>
          <w:lang w:val="en-GB"/>
        </w:rPr>
      </w:pPr>
    </w:p>
    <w:p>
      <w:pPr>
        <w:spacing w:line="360" w:lineRule="auto"/>
        <w:ind w:firstLine="0" w:firstLineChars="0"/>
        <w:jc w:val="left"/>
        <w:rPr>
          <w:rFonts w:eastAsia="等线" w:cs="Arial"/>
          <w:i/>
          <w:iCs/>
          <w:kern w:val="0"/>
          <w:sz w:val="22"/>
          <w:lang w:val="en-GB" w:eastAsia="en-US"/>
        </w:rPr>
      </w:pPr>
      <w:bookmarkStart w:id="4" w:name="_Hlk507491748"/>
      <w:r>
        <w:rPr>
          <w:rFonts w:eastAsia="等线" w:cs="Times New Roman"/>
          <w:i/>
          <w:iCs/>
          <w:kern w:val="0"/>
          <w:sz w:val="22"/>
          <w:vertAlign w:val="superscript"/>
          <w:lang w:val="en-GB" w:eastAsia="en-US"/>
        </w:rPr>
        <w:t>1</w:t>
      </w:r>
      <w:r>
        <w:rPr>
          <w:rFonts w:eastAsia="等线" w:cs="Times New Roman"/>
          <w:i/>
          <w:iCs/>
          <w:kern w:val="0"/>
          <w:sz w:val="22"/>
          <w:lang w:val="en-GB" w:eastAsia="en-US"/>
        </w:rPr>
        <w:t xml:space="preserve"> </w:t>
      </w:r>
      <w:r>
        <w:rPr>
          <w:rFonts w:eastAsia="等线" w:cs="Arial"/>
          <w:i/>
          <w:iCs/>
          <w:kern w:val="0"/>
          <w:sz w:val="22"/>
          <w:lang w:val="en-GB" w:eastAsia="en-US"/>
        </w:rPr>
        <w:t>State Key Laboratory of Ore Deposit Geochemistry, Institute of Geochemistry, Chinese Academy of Sciences, Guiyang, PR China</w:t>
      </w:r>
    </w:p>
    <w:p>
      <w:pPr>
        <w:spacing w:line="360" w:lineRule="auto"/>
        <w:ind w:firstLine="0" w:firstLineChars="0"/>
        <w:jc w:val="left"/>
        <w:rPr>
          <w:rFonts w:cs="Arial"/>
          <w:i/>
          <w:iCs/>
          <w:sz w:val="22"/>
          <w:lang w:val="en-GB"/>
        </w:rPr>
      </w:pPr>
      <w:bookmarkStart w:id="5" w:name="OLE_LINK10"/>
      <w:bookmarkStart w:id="6" w:name="OLE_LINK25"/>
      <w:bookmarkStart w:id="7" w:name="OLE_LINK24"/>
      <w:r>
        <w:rPr>
          <w:rFonts w:cs="Arial"/>
          <w:i/>
          <w:iCs/>
          <w:sz w:val="22"/>
          <w:vertAlign w:val="superscript"/>
          <w:lang w:val="en-GB"/>
        </w:rPr>
        <w:t>2</w:t>
      </w:r>
      <w:r>
        <w:rPr>
          <w:rFonts w:cs="Arial"/>
          <w:i/>
          <w:iCs/>
          <w:sz w:val="22"/>
          <w:lang w:val="en-GB"/>
        </w:rPr>
        <w:t xml:space="preserve"> </w:t>
      </w:r>
      <w:bookmarkEnd w:id="5"/>
      <w:r>
        <w:rPr>
          <w:rFonts w:cs="Arial"/>
          <w:i/>
          <w:iCs/>
          <w:sz w:val="22"/>
          <w:lang w:val="en-GB"/>
        </w:rPr>
        <w:t>German Research Centre for Geosciences GFZ</w:t>
      </w:r>
      <w:bookmarkEnd w:id="6"/>
      <w:bookmarkEnd w:id="7"/>
      <w:r>
        <w:rPr>
          <w:rFonts w:cs="Arial"/>
          <w:i/>
          <w:iCs/>
          <w:sz w:val="22"/>
          <w:lang w:val="en-GB"/>
        </w:rPr>
        <w:t>, 3.5 Surface Geochemistry, Telegrafenberg, Potsdam, Germany</w:t>
      </w:r>
      <w:bookmarkEnd w:id="4"/>
    </w:p>
    <w:p>
      <w:pPr>
        <w:spacing w:line="360" w:lineRule="auto"/>
        <w:ind w:firstLine="0" w:firstLineChars="0"/>
        <w:jc w:val="left"/>
        <w:rPr>
          <w:rFonts w:cs="Times New Roman"/>
          <w:b/>
          <w:bCs/>
          <w:i/>
          <w:iCs/>
        </w:rPr>
      </w:pPr>
      <w:r>
        <w:rPr>
          <w:rFonts w:cs="Arial"/>
          <w:i/>
          <w:iCs/>
          <w:sz w:val="22"/>
          <w:vertAlign w:val="superscript"/>
          <w:lang w:val="en-GB"/>
        </w:rPr>
        <w:t>3</w:t>
      </w:r>
      <w:r>
        <w:rPr>
          <w:rFonts w:cs="Arial"/>
          <w:i/>
          <w:iCs/>
          <w:sz w:val="22"/>
          <w:lang w:val="en-GB"/>
        </w:rPr>
        <w:t xml:space="preserve"> V. I. Vernadsky Institute of Geochemistry and Analytical Chemistry, Russian Academy of Sciences, 19 ul. Kosygina, Moscow, 119991, Russia.</w:t>
      </w:r>
    </w:p>
    <w:p>
      <w:pPr>
        <w:spacing w:line="360" w:lineRule="auto"/>
        <w:ind w:firstLine="0" w:firstLineChars="0"/>
        <w:jc w:val="left"/>
        <w:rPr>
          <w:rFonts w:ascii="Times New Roman" w:hAnsi="Times New Roman"/>
          <w:szCs w:val="24"/>
        </w:rPr>
      </w:pPr>
      <w:r>
        <w:rPr>
          <w:rFonts w:eastAsia="等线" w:cs="Arial"/>
          <w:kern w:val="0"/>
          <w:sz w:val="22"/>
          <w:lang w:val="en-GB"/>
        </w:rPr>
        <w:t>*Corresponding author</w:t>
      </w:r>
      <w:r>
        <w:rPr>
          <w:rFonts w:eastAsia="等线" w:cs="Arial"/>
          <w:kern w:val="0"/>
          <w:sz w:val="22"/>
          <w:lang w:val="en-GB" w:eastAsia="en-US"/>
        </w:rPr>
        <w:t xml:space="preserve">: </w:t>
      </w:r>
      <w:r>
        <w:rPr>
          <w:rFonts w:eastAsia="等线" w:cs="Arial"/>
          <w:b/>
          <w:kern w:val="0"/>
          <w:sz w:val="22"/>
          <w:lang w:val="en-GB" w:eastAsia="en-US"/>
        </w:rPr>
        <w:t>Xie-Yan Song (</w:t>
      </w:r>
      <w:r>
        <w:fldChar w:fldCharType="begin"/>
      </w:r>
      <w:r>
        <w:instrText xml:space="preserve"> HYPERLINK "mailto:songxieyan@vip.gyig.ac.cn" </w:instrText>
      </w:r>
      <w:r>
        <w:fldChar w:fldCharType="separate"/>
      </w:r>
      <w:r>
        <w:rPr>
          <w:rStyle w:val="14"/>
          <w:rFonts w:eastAsia="等线" w:cs="Arial"/>
          <w:kern w:val="0"/>
          <w:sz w:val="22"/>
          <w:lang w:val="en-GB" w:eastAsia="en-US"/>
        </w:rPr>
        <w:t>songxieyan@vip.gyig.ac.cn</w:t>
      </w:r>
      <w:r>
        <w:rPr>
          <w:rStyle w:val="14"/>
          <w:rFonts w:eastAsia="等线" w:cs="Arial"/>
          <w:kern w:val="0"/>
          <w:sz w:val="22"/>
          <w:lang w:val="en-GB" w:eastAsia="en-US"/>
        </w:rPr>
        <w:fldChar w:fldCharType="end"/>
      </w:r>
      <w:r>
        <w:rPr>
          <w:rFonts w:hint="eastAsia" w:ascii="Times New Roman" w:hAnsi="Times New Roman"/>
          <w:szCs w:val="24"/>
        </w:rPr>
        <w:t>)</w:t>
      </w:r>
    </w:p>
    <w:p>
      <w:pPr>
        <w:spacing w:line="240" w:lineRule="auto"/>
        <w:ind w:firstLine="0" w:firstLineChars="0"/>
        <w:jc w:val="center"/>
        <w:rPr>
          <w:rFonts w:ascii="Times New Roman" w:hAnsi="Times New Roman"/>
          <w:szCs w:val="24"/>
        </w:rPr>
      </w:pPr>
    </w:p>
    <w:p>
      <w:pPr>
        <w:spacing w:line="240" w:lineRule="auto"/>
        <w:ind w:firstLine="0" w:firstLineChars="0"/>
        <w:jc w:val="left"/>
        <w:rPr>
          <w:rFonts w:ascii="Times New Roman" w:hAnsi="Times New Roman"/>
          <w:szCs w:val="24"/>
        </w:rPr>
      </w:pPr>
      <w:r>
        <w:rPr>
          <w:rFonts w:ascii="Times New Roman" w:hAnsi="Times New Roman"/>
          <w:szCs w:val="24"/>
        </w:rPr>
        <w:t>This file contains:</w:t>
      </w:r>
    </w:p>
    <w:p>
      <w:pPr>
        <w:pStyle w:val="18"/>
        <w:numPr>
          <w:ilvl w:val="0"/>
          <w:numId w:val="2"/>
        </w:numPr>
        <w:spacing w:line="360" w:lineRule="auto"/>
        <w:ind w:firstLineChars="0"/>
        <w:jc w:val="left"/>
        <w:rPr>
          <w:rFonts w:ascii="Times New Roman" w:hAnsi="Times New Roman"/>
          <w:szCs w:val="24"/>
        </w:rPr>
      </w:pPr>
      <w:r>
        <w:rPr>
          <w:rFonts w:hint="eastAsia" w:ascii="Times New Roman" w:hAnsi="Times New Roman"/>
          <w:szCs w:val="24"/>
        </w:rPr>
        <w:t>T</w:t>
      </w:r>
      <w:r>
        <w:rPr>
          <w:rFonts w:ascii="Times New Roman" w:hAnsi="Times New Roman"/>
          <w:szCs w:val="24"/>
        </w:rPr>
        <w:t>exts S1-S2.</w:t>
      </w:r>
    </w:p>
    <w:p>
      <w:pPr>
        <w:pStyle w:val="18"/>
        <w:numPr>
          <w:ilvl w:val="0"/>
          <w:numId w:val="2"/>
        </w:numPr>
        <w:spacing w:line="360" w:lineRule="auto"/>
        <w:ind w:firstLineChars="0"/>
        <w:jc w:val="left"/>
        <w:rPr>
          <w:rFonts w:ascii="Times New Roman" w:hAnsi="Times New Roman"/>
          <w:szCs w:val="24"/>
        </w:rPr>
      </w:pPr>
      <w:r>
        <w:rPr>
          <w:rFonts w:hint="eastAsia" w:ascii="Times New Roman" w:hAnsi="Times New Roman"/>
          <w:szCs w:val="24"/>
        </w:rPr>
        <w:t>F</w:t>
      </w:r>
      <w:r>
        <w:rPr>
          <w:rFonts w:ascii="Times New Roman" w:hAnsi="Times New Roman"/>
          <w:szCs w:val="24"/>
        </w:rPr>
        <w:t>igs. S1-S6.</w:t>
      </w:r>
    </w:p>
    <w:p>
      <w:pPr>
        <w:pStyle w:val="18"/>
        <w:numPr>
          <w:ilvl w:val="0"/>
          <w:numId w:val="2"/>
        </w:numPr>
        <w:spacing w:line="360" w:lineRule="auto"/>
        <w:ind w:firstLineChars="0"/>
        <w:jc w:val="left"/>
        <w:rPr>
          <w:rFonts w:ascii="Times New Roman" w:hAnsi="Times New Roman"/>
          <w:szCs w:val="24"/>
        </w:rPr>
      </w:pPr>
      <w:r>
        <w:rPr>
          <w:rFonts w:ascii="Times New Roman" w:hAnsi="Times New Roman"/>
          <w:szCs w:val="24"/>
        </w:rPr>
        <w:t xml:space="preserve">Captions for </w:t>
      </w:r>
      <w:r>
        <w:rPr>
          <w:rFonts w:hint="eastAsia" w:ascii="Times New Roman" w:hAnsi="Times New Roman"/>
          <w:szCs w:val="24"/>
        </w:rPr>
        <w:t>T</w:t>
      </w:r>
      <w:r>
        <w:rPr>
          <w:rFonts w:ascii="Times New Roman" w:hAnsi="Times New Roman"/>
          <w:szCs w:val="24"/>
        </w:rPr>
        <w:t>ables S1, S2 (as the Excel file which is uploaded separately), S3, S4, S5 (include Table S5a and 5b).</w:t>
      </w:r>
    </w:p>
    <w:p>
      <w:pPr>
        <w:pStyle w:val="18"/>
        <w:numPr>
          <w:ilvl w:val="0"/>
          <w:numId w:val="2"/>
        </w:numPr>
        <w:spacing w:line="360" w:lineRule="auto"/>
        <w:ind w:firstLineChars="0"/>
        <w:jc w:val="left"/>
        <w:rPr>
          <w:rFonts w:ascii="Times New Roman" w:hAnsi="Times New Roman"/>
          <w:szCs w:val="24"/>
        </w:rPr>
      </w:pPr>
      <w:r>
        <w:rPr>
          <w:rFonts w:ascii="Times New Roman" w:hAnsi="Times New Roman"/>
          <w:szCs w:val="24"/>
        </w:rPr>
        <w:t>Cited references.</w:t>
      </w:r>
    </w:p>
    <w:p>
      <w:pPr>
        <w:widowControl/>
        <w:spacing w:line="240" w:lineRule="auto"/>
        <w:ind w:firstLine="0" w:firstLineChars="0"/>
        <w:jc w:val="left"/>
        <w:rPr>
          <w:rFonts w:eastAsia="等线" w:cs="Arial"/>
          <w:b/>
          <w:bCs/>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lnNumType w:countBy="1" w:restart="continuous"/>
          <w:cols w:space="425" w:num="1"/>
          <w:docGrid w:type="lines" w:linePitch="326" w:charSpace="0"/>
        </w:sectPr>
      </w:pPr>
    </w:p>
    <w:p>
      <w:pPr>
        <w:widowControl/>
        <w:spacing w:line="240" w:lineRule="auto"/>
        <w:ind w:firstLine="0" w:firstLineChars="0"/>
        <w:jc w:val="left"/>
        <w:rPr>
          <w:rFonts w:eastAsia="等线" w:cs="Arial"/>
          <w:b/>
          <w:bCs/>
          <w:sz w:val="28"/>
          <w:szCs w:val="28"/>
        </w:rPr>
      </w:pPr>
      <w:r>
        <w:rPr>
          <w:rFonts w:eastAsia="等线" w:cs="Arial"/>
          <w:b/>
          <w:bCs/>
          <w:sz w:val="28"/>
          <w:szCs w:val="28"/>
        </w:rPr>
        <w:t>Text S1. Samples</w:t>
      </w:r>
    </w:p>
    <w:p>
      <w:pPr>
        <w:ind w:firstLine="480"/>
        <w:rPr>
          <w:rFonts w:cs="Times New Roman"/>
        </w:rPr>
      </w:pPr>
      <w:bookmarkStart w:id="8" w:name="OLE_LINK44"/>
      <w:r>
        <w:rPr>
          <w:rFonts w:hint="eastAsia" w:cs="Times New Roman"/>
        </w:rPr>
        <w:t>F</w:t>
      </w:r>
      <w:r>
        <w:rPr>
          <w:rFonts w:cs="Times New Roman"/>
        </w:rPr>
        <w:t xml:space="preserve">ractionation crystallization modelling of the sulfide liquids was carried out </w:t>
      </w:r>
      <w:r>
        <w:rPr>
          <w:rFonts w:hint="eastAsia" w:cs="Times New Roman"/>
        </w:rPr>
        <w:t>for</w:t>
      </w:r>
      <w:r>
        <w:rPr>
          <w:rFonts w:cs="Times New Roman"/>
        </w:rPr>
        <w:t xml:space="preserve"> orebody No. 24 of the Jinchuan deposit and Talnakh ore junction of the Noril’sk district (simplified as Jinchuan deposit and Noril’sk deposits, respectively)</w:t>
      </w:r>
      <w:r>
        <w:rPr>
          <w:rFonts w:cs="Times New Roman"/>
          <w:color w:val="0070C0"/>
        </w:rPr>
        <w:t xml:space="preserve"> (Fig. 1)</w:t>
      </w:r>
      <w:r>
        <w:rPr>
          <w:rFonts w:cs="Times New Roman"/>
        </w:rPr>
        <w:t xml:space="preserve"> using </w:t>
      </w:r>
      <w:r>
        <w:rPr>
          <w:rFonts w:hint="eastAsia" w:cs="Times New Roman"/>
        </w:rPr>
        <w:t>the</w:t>
      </w:r>
      <w:r>
        <w:rPr>
          <w:rFonts w:cs="Times New Roman"/>
        </w:rPr>
        <w:t xml:space="preserve"> whole-rock data of Ni and PGE </w:t>
      </w:r>
      <w:r>
        <w:rPr>
          <w:rFonts w:cs="Times New Roman"/>
          <w:color w:val="0070C0"/>
        </w:rPr>
        <w:t>(</w:t>
      </w:r>
      <w:r>
        <w:rPr>
          <w:rFonts w:hint="eastAsia" w:cs="Times New Roman"/>
          <w:color w:val="0070C0"/>
        </w:rPr>
        <w:t>Table</w:t>
      </w:r>
      <w:r>
        <w:rPr>
          <w:rFonts w:cs="Times New Roman"/>
          <w:color w:val="0070C0"/>
        </w:rPr>
        <w:t xml:space="preserve"> S1</w:t>
      </w:r>
      <w:r>
        <w:rPr>
          <w:rFonts w:hint="eastAsia" w:cs="Times New Roman"/>
          <w:color w:val="0070C0"/>
        </w:rPr>
        <w:t>)</w:t>
      </w:r>
      <w:r>
        <w:rPr>
          <w:rFonts w:cs="Times New Roman"/>
        </w:rPr>
        <w:t xml:space="preserve">. We used 97 samples from the Noril’sk deposits (84 samples described by </w:t>
      </w:r>
      <w:r>
        <w:rPr>
          <w:color w:val="0070C0"/>
        </w:rPr>
        <w:t>Duran et al., 2017</w:t>
      </w:r>
      <w:r>
        <w:t xml:space="preserve"> and </w:t>
      </w:r>
      <w:r>
        <w:rPr>
          <w:color w:val="0070C0"/>
        </w:rPr>
        <w:t>Zientek et al., 1994</w:t>
      </w:r>
      <w:r>
        <w:t xml:space="preserve"> and 13 samples we analyzed)</w:t>
      </w:r>
      <w:r>
        <w:rPr>
          <w:rFonts w:cs="Times New Roman"/>
        </w:rPr>
        <w:t xml:space="preserve"> and 83 samples from the Jinchuan deposit (64 samples described by </w:t>
      </w:r>
      <w:r>
        <w:rPr>
          <w:rFonts w:cs="Times New Roman"/>
          <w:color w:val="0070C0"/>
        </w:rPr>
        <w:t>Chen et al., 2013</w:t>
      </w:r>
      <w:r>
        <w:rPr>
          <w:rFonts w:cs="Times New Roman"/>
        </w:rPr>
        <w:t xml:space="preserve"> and 19 samples we analyzed) for the modelling</w:t>
      </w:r>
      <w:r>
        <w:rPr>
          <w:rFonts w:cs="Times New Roman"/>
          <w:color w:val="0070C0"/>
        </w:rPr>
        <w:t xml:space="preserve"> (Table S1)</w:t>
      </w:r>
      <w:r>
        <w:rPr>
          <w:rFonts w:cs="Times New Roman"/>
        </w:rPr>
        <w:t xml:space="preserve">. The 13 samples from the Noril’sk deposits were collected by Xie-Yan Song, Lie-Meng Chen and Song-Yue Yu from underground drifts of the </w:t>
      </w:r>
      <w:r>
        <w:rPr>
          <w:rFonts w:hint="eastAsia" w:cs="Times New Roman"/>
        </w:rPr>
        <w:t>Skallsty</w:t>
      </w:r>
      <w:r>
        <w:rPr>
          <w:rFonts w:cs="Times New Roman"/>
        </w:rPr>
        <w:t xml:space="preserve"> mine, Taymyrsky mine and Oktyabr’sky mine </w:t>
      </w:r>
      <w:r>
        <w:rPr>
          <w:rFonts w:cs="Times New Roman"/>
          <w:color w:val="0070C0"/>
        </w:rPr>
        <w:t>(Table S1; Fig. 1B)</w:t>
      </w:r>
      <w:r>
        <w:rPr>
          <w:rFonts w:cs="Times New Roman"/>
        </w:rPr>
        <w:t xml:space="preserve"> during the prior</w:t>
      </w:r>
      <w:r>
        <w:rPr>
          <w:rFonts w:hint="eastAsia" w:cs="Times New Roman"/>
        </w:rPr>
        <w:t>-meeting</w:t>
      </w:r>
      <w:r>
        <w:rPr>
          <w:rFonts w:cs="Times New Roman"/>
        </w:rPr>
        <w:t xml:space="preserve"> field trip of the 12th International Platinum Symposium. The 19 samples from the Jinchuan deposit were collected by Xie-Yan Song and Lie-Meng Chen from underground drift. The early cumulated sulfide phase </w:t>
      </w:r>
      <w:r>
        <w:rPr>
          <w:rFonts w:hint="eastAsia" w:cs="Times New Roman"/>
        </w:rPr>
        <w:t>of</w:t>
      </w:r>
      <w:r>
        <w:rPr>
          <w:rFonts w:cs="Times New Roman"/>
        </w:rPr>
        <w:t xml:space="preserve"> the two deposits plot on MSS cumulate trends </w:t>
      </w:r>
      <w:r>
        <w:rPr>
          <w:rFonts w:cs="Times New Roman"/>
          <w:color w:val="0070C0"/>
        </w:rPr>
        <w:t>(Fig. S1)</w:t>
      </w:r>
      <w:r>
        <w:rPr>
          <w:rFonts w:cs="Times New Roman"/>
        </w:rPr>
        <w:t>. A</w:t>
      </w:r>
      <w:r>
        <w:rPr>
          <w:rFonts w:hint="eastAsia" w:cs="Times New Roman"/>
        </w:rPr>
        <w:t>ccording</w:t>
      </w:r>
      <w:r>
        <w:rPr>
          <w:rFonts w:cs="Times New Roman"/>
        </w:rPr>
        <w:t xml:space="preserve">ly, 4 massive ores (described by </w:t>
      </w:r>
      <w:r>
        <w:rPr>
          <w:rFonts w:cs="Times New Roman"/>
          <w:color w:val="0070C0"/>
        </w:rPr>
        <w:t>Chen et al., 2013</w:t>
      </w:r>
      <w:r>
        <w:rPr>
          <w:rFonts w:cs="Times New Roman"/>
        </w:rPr>
        <w:t xml:space="preserve">) from the Jinchuan deposit </w:t>
      </w:r>
      <w:r>
        <w:rPr>
          <w:rFonts w:cs="Times New Roman"/>
          <w:color w:val="0070C0"/>
        </w:rPr>
        <w:t>(Table S1; Fig. 1A)</w:t>
      </w:r>
      <w:r>
        <w:rPr>
          <w:rFonts w:cs="Times New Roman"/>
        </w:rPr>
        <w:t xml:space="preserve"> and 5 massive ores (analyzed </w:t>
      </w:r>
      <w:r>
        <w:rPr>
          <w:rFonts w:hint="eastAsia" w:cs="Times New Roman"/>
        </w:rPr>
        <w:t>this</w:t>
      </w:r>
      <w:r>
        <w:rPr>
          <w:rFonts w:cs="Times New Roman"/>
        </w:rPr>
        <w:t xml:space="preserve"> time) from the Noril’sk deposits </w:t>
      </w:r>
      <w:r>
        <w:rPr>
          <w:rFonts w:cs="Times New Roman"/>
          <w:color w:val="0070C0"/>
        </w:rPr>
        <w:t>(Table S1; Fig. 1B)</w:t>
      </w:r>
      <w:r>
        <w:rPr>
          <w:rFonts w:cs="Times New Roman"/>
        </w:rPr>
        <w:t xml:space="preserve"> were selected for further in-situ studies. </w:t>
      </w:r>
    </w:p>
    <w:p>
      <w:pPr>
        <w:ind w:firstLine="480"/>
        <w:rPr>
          <w:color w:val="000000" w:themeColor="text1"/>
          <w14:textFill>
            <w14:solidFill>
              <w14:schemeClr w14:val="tx1"/>
            </w14:solidFill>
          </w14:textFill>
        </w:rPr>
      </w:pPr>
      <w:r>
        <w:rPr>
          <w:rFonts w:cs="Times New Roman"/>
          <w:lang w:val="en-GB"/>
        </w:rPr>
        <w:t xml:space="preserve">One representative thin section or block of each the Jinchuan and Noril’sk massive ores was prepared and observed using a conventional optical microscopy </w:t>
      </w:r>
      <w:r>
        <w:rPr>
          <w:rFonts w:cs="Times New Roman"/>
        </w:rPr>
        <w:t xml:space="preserve">at the Institute of Geochemistry, Chinese Academy of Sciences </w:t>
      </w:r>
      <w:r>
        <w:rPr>
          <w:rFonts w:hint="eastAsia" w:cs="Times New Roman"/>
        </w:rPr>
        <w:t>(IGCAS</w:t>
      </w:r>
      <w:r>
        <w:rPr>
          <w:rFonts w:cs="Times New Roman"/>
        </w:rPr>
        <w:t>)</w:t>
      </w:r>
      <w:r>
        <w:rPr>
          <w:rFonts w:cs="Times New Roman"/>
          <w:lang w:val="en-GB"/>
        </w:rPr>
        <w:t>. Two representative areas (~0.5 cm × 0.5 cm, ~1.5 cm × 1.5 cm) on each thin section or mount were mapped (back-scattered electron-mapping) using a FEI Scios SEM at magnifications of 1000 and 500, respectively at the IGCAS. Platinum-group minerals (PGM) have a brighter contrast on a back-scattered electron image compared to base metal sulfides (BMS), which were located offline then analyzed using the FEI Scios SEM.</w:t>
      </w:r>
    </w:p>
    <w:p>
      <w:pPr>
        <w:ind w:firstLine="480"/>
        <w:rPr>
          <w:rFonts w:cs="Times New Roman"/>
        </w:rPr>
      </w:pPr>
      <w:r>
        <w:rPr>
          <w:rFonts w:cs="Times New Roman"/>
        </w:rPr>
        <w:t xml:space="preserve">In the Jinchuan massive ores, the proportions of pyrrhotite, pentlandite and chalcopyrite are approximately 75:20:5. </w:t>
      </w:r>
      <w:r>
        <w:rPr>
          <w:rFonts w:cs="Times New Roman"/>
          <w:highlight w:val="yellow"/>
        </w:rPr>
        <w:t>The average composition of the pyrrhotite is Fe</w:t>
      </w:r>
      <w:r>
        <w:rPr>
          <w:rFonts w:cs="Times New Roman"/>
          <w:highlight w:val="yellow"/>
          <w:vertAlign w:val="subscript"/>
        </w:rPr>
        <w:t>0.87</w:t>
      </w:r>
      <w:r>
        <w:rPr>
          <w:rFonts w:cs="Times New Roman"/>
          <w:highlight w:val="yellow"/>
        </w:rPr>
        <w:t xml:space="preserve">S </w:t>
      </w:r>
      <w:r>
        <w:rPr>
          <w:rFonts w:cs="Times New Roman"/>
          <w:color w:val="0070C0"/>
        </w:rPr>
        <w:t>(Table S4)</w:t>
      </w:r>
      <w:r>
        <w:rPr>
          <w:rFonts w:cs="Times New Roman"/>
        </w:rPr>
        <w:t>. Pentlandite mainly occurs as large subhedral grains, chain-like polycrystalline aggregates around pyrrhotite grains and occasionally as exsolution flames in pyrrhotite grains</w:t>
      </w:r>
      <w:r>
        <w:rPr>
          <w:rFonts w:hint="eastAsia" w:cs="Times New Roman"/>
        </w:rPr>
        <w:t>.</w:t>
      </w:r>
      <w:r>
        <w:rPr>
          <w:rFonts w:cs="Times New Roman"/>
        </w:rPr>
        <w:t xml:space="preserve"> Chalcopyrite was found as small anhedral grains randomly dispersed between pyrrhotite and/or pentlandite grains </w:t>
      </w:r>
      <w:r>
        <w:rPr>
          <w:rFonts w:cs="Times New Roman"/>
          <w:color w:val="0070C0"/>
        </w:rPr>
        <w:t>(</w:t>
      </w:r>
      <w:r>
        <w:rPr>
          <w:rFonts w:eastAsia="Arial" w:cs="Arial"/>
          <w:color w:val="0070C0"/>
          <w:szCs w:val="24"/>
        </w:rPr>
        <w:t>Figs. 2</w:t>
      </w:r>
      <w:r>
        <w:rPr>
          <w:rFonts w:cs="Times New Roman"/>
          <w:color w:val="0070C0"/>
        </w:rPr>
        <w:t>A-</w:t>
      </w:r>
      <w:r>
        <w:rPr>
          <w:rFonts w:hint="eastAsia" w:cs="Times New Roman"/>
          <w:color w:val="0070C0"/>
        </w:rPr>
        <w:t>B</w:t>
      </w:r>
      <w:r>
        <w:rPr>
          <w:rFonts w:cs="Times New Roman"/>
          <w:color w:val="0070C0"/>
        </w:rPr>
        <w:t>)</w:t>
      </w:r>
      <w:r>
        <w:rPr>
          <w:rFonts w:cs="Times New Roman"/>
        </w:rPr>
        <w:t xml:space="preserve">. </w:t>
      </w:r>
    </w:p>
    <w:p>
      <w:pPr>
        <w:ind w:firstLine="480"/>
        <w:rPr>
          <w:rFonts w:cs="Times New Roman"/>
        </w:rPr>
      </w:pPr>
      <w:r>
        <w:rPr>
          <w:rFonts w:hint="eastAsia" w:cs="Times New Roman"/>
        </w:rPr>
        <w:t>T</w:t>
      </w:r>
      <w:r>
        <w:rPr>
          <w:rFonts w:cs="Times New Roman"/>
        </w:rPr>
        <w:t>he Noril’sk massive ores are quite fresh and characterized by high abundance of pyrrhotite (&gt;70-75 vol%) with less than ~10 vol% of chalcopyrite and variable abundances of pentlandite. The average composition of the p</w:t>
      </w:r>
      <w:r>
        <w:rPr>
          <w:rFonts w:hint="eastAsia" w:cs="Times New Roman"/>
        </w:rPr>
        <w:t>y</w:t>
      </w:r>
      <w:r>
        <w:rPr>
          <w:rFonts w:cs="Times New Roman"/>
        </w:rPr>
        <w:t>rrhotite is Fe</w:t>
      </w:r>
      <w:r>
        <w:rPr>
          <w:rFonts w:cs="Times New Roman"/>
          <w:vertAlign w:val="subscript"/>
        </w:rPr>
        <w:t>0.89</w:t>
      </w:r>
      <w:r>
        <w:rPr>
          <w:rFonts w:cs="Times New Roman"/>
        </w:rPr>
        <w:t xml:space="preserve">S </w:t>
      </w:r>
      <w:r>
        <w:rPr>
          <w:rFonts w:hint="eastAsia" w:cs="Times New Roman"/>
          <w:color w:val="0070C0"/>
        </w:rPr>
        <w:t>(</w:t>
      </w:r>
      <w:r>
        <w:rPr>
          <w:rFonts w:cs="Times New Roman"/>
          <w:color w:val="0070C0"/>
        </w:rPr>
        <w:t>Table S4)</w:t>
      </w:r>
      <w:r>
        <w:rPr>
          <w:rFonts w:cs="Times New Roman"/>
        </w:rPr>
        <w:t>. Pentlandite mainly appears as large subhedral grains, chain-like polycrystalline aggregates around chalcopyrite (loop textured pentlandite,</w:t>
      </w:r>
      <w:r>
        <w:t xml:space="preserve"> </w:t>
      </w:r>
      <w:r>
        <w:rPr>
          <w:rFonts w:cs="Times New Roman"/>
        </w:rPr>
        <w:t xml:space="preserve">formed through a peritectic reaction between MSS and evolved sulfide liquids </w:t>
      </w:r>
      <w:r>
        <w:rPr>
          <w:rFonts w:cs="Times New Roman"/>
          <w:color w:val="0070C0"/>
        </w:rPr>
        <w:t>(Mansur et al., 2019a)</w:t>
      </w:r>
      <w:r>
        <w:rPr>
          <w:rFonts w:cs="Times New Roman"/>
        </w:rPr>
        <w:t xml:space="preserve">) and pyrrhotite </w:t>
      </w:r>
      <w:r>
        <w:rPr>
          <w:rFonts w:cs="Times New Roman"/>
          <w:color w:val="0070C0"/>
        </w:rPr>
        <w:t>(Figs. 2C-D)</w:t>
      </w:r>
      <w:r>
        <w:rPr>
          <w:rFonts w:cs="Times New Roman"/>
        </w:rPr>
        <w:t xml:space="preserve"> and occasionally as exsolution flames within pyrrhotite grains </w:t>
      </w:r>
      <w:r>
        <w:rPr>
          <w:rFonts w:cs="Times New Roman"/>
          <w:color w:val="0070C0"/>
        </w:rPr>
        <w:t>(Fig. 2C)</w:t>
      </w:r>
      <w:r>
        <w:rPr>
          <w:rFonts w:cs="Times New Roman"/>
        </w:rPr>
        <w:t xml:space="preserve">. Chalcopyrite occurs as small anhedral grains </w:t>
      </w:r>
      <w:r>
        <w:rPr>
          <w:rFonts w:cs="Times New Roman"/>
          <w:color w:val="0070C0"/>
        </w:rPr>
        <w:t>(Fig. 2C)</w:t>
      </w:r>
      <w:r>
        <w:rPr>
          <w:rFonts w:cs="Times New Roman"/>
        </w:rPr>
        <w:t xml:space="preserve"> or millimeter </w:t>
      </w:r>
      <w:r>
        <w:rPr>
          <w:rFonts w:cs="Times New Roman"/>
          <w:color w:val="0070C0"/>
        </w:rPr>
        <w:t>(Fig. 2D)</w:t>
      </w:r>
      <w:r>
        <w:rPr>
          <w:rFonts w:cs="Times New Roman"/>
        </w:rPr>
        <w:t xml:space="preserve"> to centimeter sized patches. Euhedral to subhedral magmatic magnetites were commonly found</w:t>
      </w:r>
      <w:r>
        <w:rPr>
          <w:rFonts w:cs="Times New Roman"/>
          <w:color w:val="FF0000"/>
        </w:rPr>
        <w:t xml:space="preserve"> </w:t>
      </w:r>
      <w:r>
        <w:rPr>
          <w:rFonts w:cs="Times New Roman"/>
        </w:rPr>
        <w:t>in</w:t>
      </w:r>
      <w:r>
        <w:rPr>
          <w:rFonts w:cs="Times New Roman"/>
          <w:color w:val="FF0000"/>
        </w:rPr>
        <w:t xml:space="preserve"> </w:t>
      </w:r>
      <w:r>
        <w:rPr>
          <w:rFonts w:cs="Times New Roman"/>
        </w:rPr>
        <w:t>the massive ores with proportions of 5-12 vol% and diameters of 0.2</w:t>
      </w:r>
      <w:r>
        <w:rPr>
          <w:rFonts w:hint="eastAsia" w:cs="Times New Roman"/>
        </w:rPr>
        <w:t>-</w:t>
      </w:r>
      <w:r>
        <w:rPr>
          <w:rFonts w:cs="Times New Roman"/>
        </w:rPr>
        <w:t>0.5 m</w:t>
      </w:r>
      <w:r>
        <w:rPr>
          <w:rFonts w:hint="eastAsia" w:cs="Times New Roman"/>
        </w:rPr>
        <w:t>m</w:t>
      </w:r>
      <w:r>
        <w:rPr>
          <w:rFonts w:cs="Times New Roman"/>
        </w:rPr>
        <w:t xml:space="preserve"> </w:t>
      </w:r>
      <w:r>
        <w:rPr>
          <w:rFonts w:cs="Times New Roman"/>
          <w:color w:val="0070C0"/>
        </w:rPr>
        <w:t>(</w:t>
      </w:r>
      <w:r>
        <w:rPr>
          <w:rFonts w:eastAsia="Arial" w:cs="Arial"/>
          <w:color w:val="0070C0"/>
          <w:szCs w:val="24"/>
        </w:rPr>
        <w:t>Fig. 2</w:t>
      </w:r>
      <w:r>
        <w:rPr>
          <w:rFonts w:cs="Times New Roman"/>
          <w:color w:val="0070C0"/>
        </w:rPr>
        <w:t>D)</w:t>
      </w:r>
      <w:r>
        <w:rPr>
          <w:rFonts w:cs="Times New Roman"/>
        </w:rPr>
        <w:t>.</w:t>
      </w:r>
      <w:bookmarkEnd w:id="8"/>
    </w:p>
    <w:p>
      <w:pPr>
        <w:ind w:firstLine="480"/>
        <w:rPr>
          <w:rFonts w:cs="Times New Roman"/>
        </w:rPr>
      </w:pPr>
      <w:r>
        <w:rPr>
          <w:rFonts w:cs="Times New Roman"/>
        </w:rPr>
        <w:t xml:space="preserve">As shown in the plots of whole-rock semimetals concentrations (in 100% sulfide) versus (Pt+Pd)/(Ir+Ru+Rh) values, Te, Bi and As correlate positively with (Pt+Pd)/(Ir+Ru+Rh) </w:t>
      </w:r>
      <w:r>
        <w:rPr>
          <w:rFonts w:cs="Times New Roman"/>
          <w:color w:val="0070C0"/>
        </w:rPr>
        <w:t>(Fig. S2)</w:t>
      </w:r>
      <w:r>
        <w:rPr>
          <w:rFonts w:cs="Times New Roman"/>
        </w:rPr>
        <w:t xml:space="preserve"> for Jinchuan </w:t>
      </w:r>
      <w:r>
        <w:rPr>
          <w:rFonts w:cs="Times New Roman"/>
          <w:color w:val="0070C0"/>
        </w:rPr>
        <w:t>(Figs. S2B-C)</w:t>
      </w:r>
      <w:r>
        <w:rPr>
          <w:rFonts w:cs="Times New Roman"/>
        </w:rPr>
        <w:t xml:space="preserve"> and Noril’sk </w:t>
      </w:r>
      <w:r>
        <w:rPr>
          <w:rFonts w:cs="Times New Roman"/>
          <w:color w:val="0070C0"/>
        </w:rPr>
        <w:t>(Figs. S2D-F)</w:t>
      </w:r>
      <w:r>
        <w:rPr>
          <w:rFonts w:cs="Times New Roman"/>
        </w:rPr>
        <w:t xml:space="preserve"> sulfide ores, except the Jinchuan </w:t>
      </w:r>
      <w:r>
        <w:rPr>
          <w:rFonts w:cs="Times New Roman"/>
          <w:highlight w:val="yellow"/>
        </w:rPr>
        <w:t>Cu-rich ores which have relatively constant As concentrations as</w:t>
      </w:r>
      <w:r>
        <w:rPr>
          <w:rFonts w:cs="Times New Roman"/>
        </w:rPr>
        <w:t xml:space="preserve"> (Pt+Pd)/(Ir+Ru+Rh) increase </w:t>
      </w:r>
      <w:r>
        <w:rPr>
          <w:rFonts w:cs="Times New Roman"/>
          <w:color w:val="0070C0"/>
        </w:rPr>
        <w:t>(Fig. S2A)</w:t>
      </w:r>
      <w:r>
        <w:rPr>
          <w:rFonts w:cs="Times New Roman"/>
        </w:rPr>
        <w:t>.</w:t>
      </w:r>
    </w:p>
    <w:p>
      <w:pPr>
        <w:ind w:firstLine="0" w:firstLineChars="0"/>
        <w:rPr>
          <w:rFonts w:eastAsia="等线" w:cs="Arial"/>
          <w:b/>
          <w:bCs/>
          <w:sz w:val="28"/>
          <w:szCs w:val="28"/>
        </w:rPr>
      </w:pPr>
      <w:r>
        <w:rPr>
          <w:rFonts w:eastAsia="等线" w:cs="Arial"/>
          <w:b/>
          <w:bCs/>
          <w:sz w:val="28"/>
          <w:szCs w:val="28"/>
        </w:rPr>
        <w:t>Text S2. Analytical methods</w:t>
      </w:r>
    </w:p>
    <w:p>
      <w:pPr>
        <w:ind w:firstLine="0" w:firstLineChars="0"/>
        <w:jc w:val="left"/>
        <w:rPr>
          <w:b/>
          <w:bCs/>
        </w:rPr>
      </w:pPr>
      <w:r>
        <w:rPr>
          <w:b/>
          <w:bCs/>
        </w:rPr>
        <w:t xml:space="preserve">Whole-rock S, metal and semimetal analyses </w:t>
      </w:r>
    </w:p>
    <w:p>
      <w:pPr>
        <w:widowControl/>
        <w:ind w:firstLine="420" w:firstLineChars="0"/>
        <w:rPr>
          <w:rFonts w:cs="Times New Roman"/>
          <w:color w:val="FF0000"/>
        </w:rPr>
      </w:pPr>
      <w:r>
        <w:rPr>
          <w:rFonts w:cs="Times New Roman"/>
        </w:rPr>
        <w:t>A LECO CS844 was used to measure whole-rock S contents using IR-absorption with the detection limits ~0.01 wt% at the Mineral-ALS Chemex (Guangzhou) Co., Ltd. Whole-rock Ni and Cu contents were measured by Inductively Coupled Plasma-Optical Emission Spectrometry (ICP-OES) and semimetals contents were determined by Inductively Coupled Plasma Atomic Fluorescence Spectroscopy (ICP-AFS)</w:t>
      </w:r>
      <w:r>
        <w:rPr>
          <w:rFonts w:cs="Times New Roman"/>
          <w:color w:val="FF0000"/>
        </w:rPr>
        <w:t xml:space="preserve"> </w:t>
      </w:r>
      <w:r>
        <w:rPr>
          <w:rFonts w:cs="Times New Roman"/>
        </w:rPr>
        <w:t>at the Mineral-ALS Chemex (Guangzhou) Co., Ltd.</w:t>
      </w:r>
    </w:p>
    <w:p>
      <w:pPr>
        <w:widowControl/>
        <w:ind w:firstLine="420" w:firstLineChars="0"/>
        <w:rPr>
          <w:rFonts w:cs="Times New Roman"/>
        </w:rPr>
      </w:pPr>
      <w:r>
        <w:rPr>
          <w:rFonts w:cs="Times New Roman"/>
        </w:rPr>
        <w:t xml:space="preserve">Platinum-group elements abundances were measured by Isotope Dilution Inductively Coupled Plasma Mass Spectrometry (ID-ICPMS) using an improved digestion technique </w:t>
      </w:r>
      <w:r>
        <w:rPr>
          <w:rFonts w:cs="Times New Roman"/>
          <w:color w:val="0070C0"/>
        </w:rPr>
        <w:t>(Qi et al., 2011)</w:t>
      </w:r>
      <w:r>
        <w:rPr>
          <w:rFonts w:cs="Times New Roman"/>
        </w:rPr>
        <w:t xml:space="preserve"> </w:t>
      </w:r>
      <w:bookmarkStart w:id="9" w:name="OLE_LINK2"/>
      <w:r>
        <w:rPr>
          <w:rFonts w:cs="Times New Roman"/>
        </w:rPr>
        <w:t xml:space="preserve">at the </w:t>
      </w:r>
      <w:r>
        <w:rPr>
          <w:rFonts w:hint="eastAsia" w:cs="Times New Roman"/>
        </w:rPr>
        <w:t>IGCAS</w:t>
      </w:r>
      <w:bookmarkEnd w:id="9"/>
      <w:r>
        <w:rPr>
          <w:rFonts w:cs="Times New Roman"/>
        </w:rPr>
        <w:t>. Sample powders were digested by HF and HNO</w:t>
      </w:r>
      <w:r>
        <w:rPr>
          <w:rFonts w:cs="Times New Roman"/>
          <w:vertAlign w:val="subscript"/>
        </w:rPr>
        <w:t>3</w:t>
      </w:r>
      <w:r>
        <w:rPr>
          <w:rFonts w:cs="Times New Roman"/>
        </w:rPr>
        <w:t xml:space="preserve"> in </w:t>
      </w:r>
      <w:r>
        <w:t>p</w:t>
      </w:r>
      <w:r>
        <w:rPr>
          <w:rFonts w:hint="eastAsia"/>
          <w:lang w:val="en-GB"/>
        </w:rPr>
        <w:t>oly tetra fluoroethylene</w:t>
      </w:r>
      <w:r>
        <w:rPr>
          <w:rFonts w:cs="Arial"/>
          <w:lang w:val="en-GB"/>
        </w:rPr>
        <w:t xml:space="preserve"> </w:t>
      </w:r>
      <w:r>
        <w:rPr>
          <w:rFonts w:cs="Arial"/>
          <w:szCs w:val="24"/>
        </w:rPr>
        <w:t>(</w:t>
      </w:r>
      <w:r>
        <w:rPr>
          <w:rFonts w:cs="Times New Roman"/>
        </w:rPr>
        <w:t>PTFE) beaker to</w:t>
      </w:r>
      <w:r>
        <w:rPr>
          <w:rFonts w:hint="eastAsia" w:cs="Times New Roman"/>
        </w:rPr>
        <w:t xml:space="preserve"> </w:t>
      </w:r>
      <w:r>
        <w:rPr>
          <w:rFonts w:cs="Times New Roman"/>
        </w:rPr>
        <w:t>remove silicate and sulfide. The dried residual was digest</w:t>
      </w:r>
      <w:bookmarkStart w:id="10" w:name="OLE_LINK9"/>
      <w:r>
        <w:rPr>
          <w:rFonts w:cs="Times New Roman"/>
        </w:rPr>
        <w:t>ed</w:t>
      </w:r>
      <w:bookmarkEnd w:id="10"/>
      <w:r>
        <w:rPr>
          <w:rFonts w:cs="Times New Roman"/>
        </w:rPr>
        <w:t xml:space="preserve"> with HF+HNO</w:t>
      </w:r>
      <w:r>
        <w:rPr>
          <w:rFonts w:cs="Times New Roman"/>
          <w:vertAlign w:val="subscript"/>
        </w:rPr>
        <w:t>3</w:t>
      </w:r>
      <w:r>
        <w:rPr>
          <w:rFonts w:cs="Times New Roman"/>
        </w:rPr>
        <w:t xml:space="preserve"> at 190</w:t>
      </w:r>
      <w:r>
        <w:rPr>
          <w:rFonts w:hint="eastAsia" w:cs="Times New Roman"/>
        </w:rPr>
        <w:t xml:space="preserve"> </w:t>
      </w:r>
      <w:r>
        <w:rPr>
          <w:rFonts w:cs="Arial"/>
        </w:rPr>
        <w:t>°C</w:t>
      </w:r>
      <w:r>
        <w:rPr>
          <w:rFonts w:ascii="宋体" w:hAnsi="宋体" w:cs="宋体"/>
        </w:rPr>
        <w:t xml:space="preserve"> </w:t>
      </w:r>
      <w:r>
        <w:rPr>
          <w:rFonts w:cs="Times New Roman"/>
        </w:rPr>
        <w:t xml:space="preserve">for 48 h. The PGE within the final solution were then collected using a Te-coprecipitation approach </w:t>
      </w:r>
      <w:r>
        <w:rPr>
          <w:rFonts w:cs="Times New Roman"/>
          <w:color w:val="0070C0"/>
        </w:rPr>
        <w:t>(Qi et al., 2004)</w:t>
      </w:r>
      <w:r>
        <w:rPr>
          <w:rFonts w:cs="Times New Roman"/>
        </w:rPr>
        <w:t xml:space="preserve">. Precision and accuracy are better than 10% as demonstrated by analyzing reference materials UMT-1 and WPR-1 </w:t>
      </w:r>
      <w:r>
        <w:rPr>
          <w:rFonts w:cs="Times New Roman"/>
          <w:color w:val="0070C0"/>
        </w:rPr>
        <w:t>(Qi et al., 2004, 2008</w:t>
      </w:r>
      <w:r>
        <w:rPr>
          <w:rFonts w:hint="eastAsia" w:cs="Times New Roman"/>
          <w:color w:val="0070C0"/>
        </w:rPr>
        <w:t>)</w:t>
      </w:r>
      <w:r>
        <w:rPr>
          <w:rFonts w:cs="Times New Roman"/>
        </w:rPr>
        <w:t>.</w:t>
      </w:r>
    </w:p>
    <w:p>
      <w:pPr>
        <w:ind w:firstLine="0" w:firstLineChars="0"/>
        <w:jc w:val="left"/>
        <w:rPr>
          <w:b/>
          <w:bCs/>
        </w:rPr>
      </w:pPr>
      <w:r>
        <w:rPr>
          <w:b/>
          <w:bCs/>
        </w:rPr>
        <w:t>EPMA analyses for BMS</w:t>
      </w:r>
    </w:p>
    <w:p>
      <w:pPr>
        <w:widowControl/>
        <w:ind w:firstLine="420" w:firstLineChars="0"/>
        <w:rPr>
          <w:rFonts w:ascii="宋体" w:hAnsi="宋体" w:cs="宋体"/>
        </w:rPr>
      </w:pPr>
      <w:r>
        <w:rPr>
          <w:rFonts w:cs="Times New Roman"/>
        </w:rPr>
        <w:t xml:space="preserve">Major elements of the BMS </w:t>
      </w:r>
      <w:r>
        <w:rPr>
          <w:rFonts w:hint="eastAsia" w:cs="Times New Roman"/>
        </w:rPr>
        <w:t>from</w:t>
      </w:r>
      <w:r>
        <w:rPr>
          <w:rFonts w:cs="Times New Roman"/>
        </w:rPr>
        <w:t xml:space="preserve"> the Jinchuan and Noril’sk massive ores were measured using a JXA8530F-plus Electron Probe Microanalysis (EPMA) at the IGCAS. The standards (supplied by Structure Probe, Inc.) were pentlandite for S, Co, Ni and Fe and chalcopyrite for Cu. The analyses were carried out </w:t>
      </w:r>
      <w:r>
        <w:rPr>
          <w:rFonts w:hint="eastAsia" w:cs="Times New Roman"/>
        </w:rPr>
        <w:t>using</w:t>
      </w:r>
      <w:r>
        <w:rPr>
          <w:rFonts w:cs="Times New Roman"/>
        </w:rPr>
        <w:t xml:space="preserve"> an electron beam diameter of 10 μm, a beam current of 10 nA and an accelerating voltage of 25 kV. The counting time for each element on peak and background were 20s and 10s, respectively. </w:t>
      </w:r>
    </w:p>
    <w:p>
      <w:pPr>
        <w:ind w:firstLine="199" w:firstLineChars="83"/>
        <w:rPr>
          <w:rFonts w:cs="Times New Roman"/>
        </w:rPr>
        <w:sectPr>
          <w:pgSz w:w="11906" w:h="16838"/>
          <w:pgMar w:top="1440" w:right="1800" w:bottom="1440" w:left="1800" w:header="851" w:footer="992" w:gutter="0"/>
          <w:lnNumType w:countBy="1" w:restart="continuous"/>
          <w:cols w:space="425" w:num="1"/>
          <w:docGrid w:type="lines" w:linePitch="326" w:charSpace="0"/>
        </w:sectPr>
      </w:pPr>
    </w:p>
    <w:p>
      <w:pPr>
        <w:spacing w:line="240" w:lineRule="auto"/>
        <w:ind w:firstLine="0" w:firstLineChars="0"/>
        <w:jc w:val="left"/>
      </w:pPr>
      <w:r>
        <w:rPr>
          <w:rFonts w:hint="eastAsia" w:cs="Times New Roman"/>
          <w:b/>
          <w:bCs/>
          <w:sz w:val="28"/>
          <w:szCs w:val="24"/>
        </w:rPr>
        <w:t>F</w:t>
      </w:r>
      <w:r>
        <w:rPr>
          <w:rFonts w:cs="Times New Roman"/>
          <w:b/>
          <w:bCs/>
          <w:sz w:val="28"/>
          <w:szCs w:val="24"/>
        </w:rPr>
        <w:t>igs. S1-S4</w:t>
      </w:r>
      <w:r>
        <w:rPr>
          <w:sz w:val="28"/>
          <w:szCs w:val="24"/>
        </w:rPr>
        <w:t xml:space="preserve">  </w:t>
      </w:r>
      <w:r>
        <w:t xml:space="preserve"> </w:t>
      </w:r>
    </w:p>
    <w:p>
      <w:pPr>
        <w:spacing w:line="240" w:lineRule="auto"/>
        <w:ind w:firstLine="0" w:firstLineChars="0"/>
        <w:jc w:val="left"/>
      </w:pPr>
      <w:r>
        <w:t xml:space="preserve"> </w:t>
      </w:r>
      <w:r>
        <w:drawing>
          <wp:inline distT="0" distB="0" distL="0" distR="0">
            <wp:extent cx="9777730" cy="3413760"/>
            <wp:effectExtent l="0" t="0" r="0" b="0"/>
            <wp:docPr id="16" name="图片 15"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图表, 散点图&#10;&#10;描述已自动生成"/>
                    <pic:cNvPicPr>
                      <a:picLocks noChangeAspect="1"/>
                    </pic:cNvPicPr>
                  </pic:nvPicPr>
                  <pic:blipFill>
                    <a:blip r:embed="rId13"/>
                    <a:stretch>
                      <a:fillRect/>
                    </a:stretch>
                  </pic:blipFill>
                  <pic:spPr>
                    <a:xfrm>
                      <a:off x="0" y="0"/>
                      <a:ext cx="9777730" cy="3413760"/>
                    </a:xfrm>
                    <a:prstGeom prst="rect">
                      <a:avLst/>
                    </a:prstGeom>
                  </pic:spPr>
                </pic:pic>
              </a:graphicData>
            </a:graphic>
          </wp:inline>
        </w:drawing>
      </w:r>
    </w:p>
    <w:p>
      <w:pPr>
        <w:pStyle w:val="4"/>
      </w:pPr>
      <w:bookmarkStart w:id="11" w:name="_Ref58075488"/>
      <w:r>
        <w:rPr>
          <w:b/>
          <w:bCs/>
        </w:rPr>
        <w:t xml:space="preserve">Fig. </w:t>
      </w:r>
      <w:bookmarkEnd w:id="11"/>
      <w:r>
        <w:rPr>
          <w:b/>
          <w:bCs/>
        </w:rPr>
        <w:t>S1.</w:t>
      </w:r>
      <w:r>
        <w:t xml:space="preserve"> Fractionation crystallization modelling </w:t>
      </w:r>
      <w:r>
        <w:rPr>
          <w:rFonts w:hint="eastAsia"/>
        </w:rPr>
        <w:t>for</w:t>
      </w:r>
      <w:r>
        <w:t xml:space="preserve"> the sulfide liquids from orebody No. 24 of the Jinchuan deposit (simplified as the Jinchuan deposit below) (A) and Talnakh ore junction of the Noril’sk district (simplified as the Noril’sk deposits below) (B). </w:t>
      </w:r>
      <w:r>
        <w:rPr>
          <w:rFonts w:hint="eastAsia"/>
        </w:rPr>
        <w:t>Whole-rock</w:t>
      </w:r>
      <w:r>
        <w:t xml:space="preserve"> data are listed in </w:t>
      </w:r>
      <w:r>
        <w:rPr>
          <w:color w:val="0070C0"/>
        </w:rPr>
        <w:t>Table S1</w:t>
      </w:r>
      <w:r>
        <w:t xml:space="preserve">. Data sources for the Jinchuan deposit: this study and </w:t>
      </w:r>
      <w:r>
        <w:rPr>
          <w:color w:val="0070C0"/>
        </w:rPr>
        <w:t>Chen et al.</w:t>
      </w:r>
      <w:bookmarkStart w:id="35" w:name="_GoBack"/>
      <w:bookmarkEnd w:id="35"/>
      <w:r>
        <w:rPr>
          <w:color w:val="0070C0"/>
        </w:rPr>
        <w:t xml:space="preserve"> (2013)</w:t>
      </w:r>
      <w:r>
        <w:t xml:space="preserve">, data source for the Noril’sk deposits: this study, </w:t>
      </w:r>
      <w:r>
        <w:rPr>
          <w:color w:val="0070C0"/>
        </w:rPr>
        <w:t>Duran et al. (2017)</w:t>
      </w:r>
      <w:r>
        <w:t xml:space="preserve"> and </w:t>
      </w:r>
      <w:r>
        <w:rPr>
          <w:color w:val="0070C0"/>
        </w:rPr>
        <w:t>Zientek et al. (1994)</w:t>
      </w:r>
      <w:r>
        <w:t xml:space="preserve">. MSS cumulates and residual liquid trends were calculated using a Rayleigh equation. </w:t>
      </w:r>
      <w:bookmarkStart w:id="12" w:name="OLE_LINK5"/>
      <w:r>
        <w:t xml:space="preserve">Crosses annotated with numbers </w:t>
      </w:r>
      <w:bookmarkEnd w:id="12"/>
      <w:r>
        <w:t>repres</w:t>
      </w:r>
      <w:bookmarkStart w:id="13" w:name="OLE_LINK28"/>
      <w:r>
        <w:t>ent the</w:t>
      </w:r>
      <w:bookmarkEnd w:id="13"/>
      <w:r>
        <w:t xml:space="preserve"> degrees of fractionation. The sulfide liquid of the Jinchuan </w:t>
      </w:r>
      <w:r>
        <w:rPr>
          <w:rFonts w:hint="eastAsia"/>
        </w:rPr>
        <w:t>deposit</w:t>
      </w:r>
      <w:r>
        <w:t xml:space="preserve"> was assumed to contain 9.9 wt% Ni, 250 ppb Ru and 1700 ppb Pd according to </w:t>
      </w:r>
      <w:r>
        <w:rPr>
          <w:color w:val="0070C0"/>
        </w:rPr>
        <w:t>Chen et al. (2013)</w:t>
      </w:r>
      <w:r>
        <w:t xml:space="preserve">. The sulfide liquid of the Noril’sk deposits was assumed to contain 4.97 wt% Ni, 286 ppb Ru and 28243 ppb Pd according to the </w:t>
      </w:r>
      <w:r>
        <w:rPr>
          <w:rFonts w:hint="eastAsia"/>
        </w:rPr>
        <w:t>a</w:t>
      </w:r>
      <w:r>
        <w:t>verage composition of disseminated ores</w:t>
      </w:r>
      <w:r>
        <w:rPr>
          <w:color w:val="0070C0"/>
        </w:rPr>
        <w:t xml:space="preserve"> (Zientek et al., 1994)</w:t>
      </w:r>
      <w:r>
        <w:t xml:space="preserve">. </w:t>
      </w:r>
      <w:r>
        <w:rPr>
          <w:rFonts w:hint="eastAsia"/>
        </w:rPr>
        <w:t>D</w:t>
      </w:r>
      <w:r>
        <w:rPr>
          <w:vertAlign w:val="subscript"/>
        </w:rPr>
        <w:t>Pd</w:t>
      </w:r>
      <w:r>
        <w:rPr>
          <w:vertAlign w:val="superscript"/>
        </w:rPr>
        <w:t xml:space="preserve">MSS/Sul </w:t>
      </w:r>
      <w:r>
        <w:t xml:space="preserve">= 0.133 and </w:t>
      </w:r>
      <w:r>
        <w:rPr>
          <w:rFonts w:hint="eastAsia"/>
        </w:rPr>
        <w:t>D</w:t>
      </w:r>
      <w:r>
        <w:rPr>
          <w:vertAlign w:val="subscript"/>
        </w:rPr>
        <w:t>Ru</w:t>
      </w:r>
      <w:r>
        <w:rPr>
          <w:vertAlign w:val="superscript"/>
        </w:rPr>
        <w:t xml:space="preserve">MSS/Sul </w:t>
      </w:r>
      <w:r>
        <w:t xml:space="preserve">= 13 </w:t>
      </w:r>
      <w:r>
        <w:rPr>
          <w:color w:val="0070C0"/>
        </w:rPr>
        <w:t>(Li at al., 1996; Liu et al., 2015; Mungall et al., 2014)</w:t>
      </w:r>
      <w:r>
        <w:t xml:space="preserve"> were used in the modelling. It is assumed that </w:t>
      </w:r>
      <w:bookmarkStart w:id="14" w:name="_Hlk87363553"/>
      <w:r>
        <w:rPr>
          <w:rFonts w:hint="eastAsia"/>
        </w:rPr>
        <w:t>D</w:t>
      </w:r>
      <w:r>
        <w:rPr>
          <w:vertAlign w:val="subscript"/>
        </w:rPr>
        <w:t>Ni</w:t>
      </w:r>
      <w:r>
        <w:rPr>
          <w:vertAlign w:val="superscript"/>
        </w:rPr>
        <w:t>MSS/Sul</w:t>
      </w:r>
      <w:r>
        <w:t xml:space="preserve"> is 0.6 at the beginning of fractionation and increases gradually to 0.9</w:t>
      </w:r>
      <w:bookmarkEnd w:id="14"/>
      <w:r>
        <w:t xml:space="preserve"> when ~50% of the system has solidified </w:t>
      </w:r>
      <w:r>
        <w:rPr>
          <w:color w:val="0070C0"/>
        </w:rPr>
        <w:t>(Mungall et al., 2005)</w:t>
      </w:r>
      <w:r>
        <w:t xml:space="preserve">. </w:t>
      </w:r>
    </w:p>
    <w:p>
      <w:pPr>
        <w:ind w:firstLine="480"/>
        <w:sectPr>
          <w:pgSz w:w="16838" w:h="11906" w:orient="landscape"/>
          <w:pgMar w:top="720" w:right="720" w:bottom="720" w:left="720" w:header="0" w:footer="0" w:gutter="0"/>
          <w:cols w:space="425" w:num="1"/>
          <w:docGrid w:type="lines" w:linePitch="326" w:charSpace="0"/>
        </w:sectPr>
      </w:pPr>
    </w:p>
    <w:p>
      <w:pPr>
        <w:spacing w:line="240" w:lineRule="auto"/>
        <w:ind w:firstLine="0" w:firstLineChars="0"/>
        <w:jc w:val="center"/>
      </w:pPr>
      <w:r>
        <w:drawing>
          <wp:inline distT="0" distB="0" distL="0" distR="0">
            <wp:extent cx="6645910" cy="6645910"/>
            <wp:effectExtent l="0" t="0" r="2540" b="2540"/>
            <wp:docPr id="11" name="图片 10"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图表, 散点图&#10;&#10;描述已自动生成"/>
                    <pic:cNvPicPr>
                      <a:picLocks noChangeAspect="1"/>
                    </pic:cNvPicPr>
                  </pic:nvPicPr>
                  <pic:blipFill>
                    <a:blip r:embed="rId14"/>
                    <a:stretch>
                      <a:fillRect/>
                    </a:stretch>
                  </pic:blipFill>
                  <pic:spPr>
                    <a:xfrm>
                      <a:off x="0" y="0"/>
                      <a:ext cx="6645910" cy="6645910"/>
                    </a:xfrm>
                    <a:prstGeom prst="rect">
                      <a:avLst/>
                    </a:prstGeom>
                  </pic:spPr>
                </pic:pic>
              </a:graphicData>
            </a:graphic>
          </wp:inline>
        </w:drawing>
      </w:r>
    </w:p>
    <w:bookmarkEnd w:id="1"/>
    <w:p>
      <w:pPr>
        <w:pStyle w:val="4"/>
        <w:sectPr>
          <w:pgSz w:w="11906" w:h="16838"/>
          <w:pgMar w:top="720" w:right="720" w:bottom="720" w:left="720" w:header="0" w:footer="0" w:gutter="0"/>
          <w:cols w:space="425" w:num="1"/>
          <w:docGrid w:type="lines" w:linePitch="326" w:charSpace="0"/>
        </w:sectPr>
      </w:pPr>
      <w:r>
        <w:rPr>
          <w:b/>
          <w:bCs/>
        </w:rPr>
        <w:t>Fig. S2.</w:t>
      </w:r>
      <w:r>
        <w:t xml:space="preserve"> Binary plots of whole-rock semimetals (</w:t>
      </w:r>
      <w:r>
        <w:rPr>
          <w:rFonts w:hint="eastAsia"/>
        </w:rPr>
        <w:t>in</w:t>
      </w:r>
      <w:r>
        <w:t xml:space="preserve"> 100% sulfide) versus (Pt+Pd)/(Ir+Ru+Rh) for the sulfide ores from </w:t>
      </w:r>
      <w:bookmarkStart w:id="15" w:name="OLE_LINK23"/>
      <w:r>
        <w:t xml:space="preserve">the Jinchuan deposit (A-C) and the Noril’sk </w:t>
      </w:r>
      <w:bookmarkEnd w:id="15"/>
      <w:r>
        <w:t>deposits (D-F).</w:t>
      </w:r>
      <w:bookmarkStart w:id="16" w:name="_Hlk66610325"/>
      <w:r>
        <w:t xml:space="preserve"> </w:t>
      </w:r>
      <w:bookmarkEnd w:id="16"/>
      <w:bookmarkStart w:id="17" w:name="OLE_LINK22"/>
      <w:bookmarkStart w:id="18" w:name="_Hlk70667292"/>
      <w:r>
        <w:t xml:space="preserve">The whole-rock data are listed in </w:t>
      </w:r>
      <w:r>
        <w:rPr>
          <w:color w:val="0070C0"/>
        </w:rPr>
        <w:t>Table S1</w:t>
      </w:r>
      <w:r>
        <w:t>. Data source</w:t>
      </w:r>
      <w:bookmarkEnd w:id="17"/>
      <w:r>
        <w:t>s for the Jinchuan deposit</w:t>
      </w:r>
      <w:bookmarkEnd w:id="18"/>
      <w:r>
        <w:t xml:space="preserve">: this study and </w:t>
      </w:r>
      <w:r>
        <w:rPr>
          <w:color w:val="0070C0"/>
        </w:rPr>
        <w:t>Chen et al. (2013)</w:t>
      </w:r>
      <w:r>
        <w:t xml:space="preserve">, data source for the Noril’sk deposits: this study, </w:t>
      </w:r>
      <w:r>
        <w:rPr>
          <w:color w:val="0070C0"/>
        </w:rPr>
        <w:t>Duran et al. (2017)</w:t>
      </w:r>
      <w:r>
        <w:t xml:space="preserve"> and </w:t>
      </w:r>
      <w:r>
        <w:rPr>
          <w:color w:val="0070C0"/>
        </w:rPr>
        <w:t>Zientek et al. (1994)</w:t>
      </w:r>
      <w:r>
        <w:t>.</w:t>
      </w:r>
      <w:bookmarkEnd w:id="2"/>
      <w:r>
        <w:t xml:space="preserve"> </w:t>
      </w:r>
    </w:p>
    <w:p>
      <w:pPr>
        <w:ind w:firstLine="0" w:firstLineChars="0"/>
      </w:pPr>
      <w:r>
        <w:drawing>
          <wp:inline distT="0" distB="0" distL="0" distR="0">
            <wp:extent cx="9777730" cy="21996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9887952" cy="2224490"/>
                    </a:xfrm>
                    <a:prstGeom prst="rect">
                      <a:avLst/>
                    </a:prstGeom>
                    <a:noFill/>
                  </pic:spPr>
                </pic:pic>
              </a:graphicData>
            </a:graphic>
          </wp:inline>
        </w:drawing>
      </w:r>
    </w:p>
    <w:p>
      <w:pPr>
        <w:spacing w:line="360" w:lineRule="auto"/>
        <w:ind w:firstLine="0" w:firstLineChars="0"/>
        <w:rPr>
          <w:rFonts w:eastAsia="Arial" w:cstheme="majorBidi"/>
          <w:sz w:val="21"/>
          <w:szCs w:val="20"/>
        </w:rPr>
      </w:pPr>
      <w:r>
        <w:rPr>
          <w:rFonts w:eastAsia="Arial" w:cstheme="majorBidi"/>
          <w:b/>
          <w:bCs/>
          <w:sz w:val="21"/>
          <w:szCs w:val="20"/>
        </w:rPr>
        <w:t xml:space="preserve">Fig. S3. </w:t>
      </w:r>
      <w:r>
        <w:rPr>
          <w:rFonts w:hint="eastAsia" w:eastAsia="Arial" w:cstheme="majorBidi"/>
          <w:sz w:val="21"/>
          <w:szCs w:val="20"/>
        </w:rPr>
        <w:t>A</w:t>
      </w:r>
      <w:r>
        <w:rPr>
          <w:rFonts w:eastAsia="Arial" w:cstheme="majorBidi"/>
          <w:sz w:val="21"/>
          <w:szCs w:val="20"/>
        </w:rPr>
        <w:t xml:space="preserve"> comparison of the LA-ICP-MS results for JC06-806 (one of the massive ores from the Jinchuan deposit) acquired at CODES, University of Tasmania </w:t>
      </w:r>
      <w:r>
        <w:rPr>
          <w:rFonts w:eastAsia="Arial" w:cstheme="majorBidi"/>
          <w:color w:val="0070C0"/>
          <w:sz w:val="21"/>
          <w:szCs w:val="20"/>
        </w:rPr>
        <w:t>(Chen et al., 2015)</w:t>
      </w:r>
      <w:r>
        <w:rPr>
          <w:rFonts w:eastAsia="Arial" w:cstheme="majorBidi"/>
          <w:sz w:val="21"/>
          <w:szCs w:val="20"/>
        </w:rPr>
        <w:t xml:space="preserve"> and at the Institute of Geochemistry, Chinese Academy of Sciences (IGCAS) </w:t>
      </w:r>
      <w:r>
        <w:rPr>
          <w:rFonts w:eastAsia="Arial" w:cstheme="majorBidi"/>
          <w:color w:val="0070C0"/>
          <w:sz w:val="21"/>
          <w:szCs w:val="20"/>
        </w:rPr>
        <w:t>(Table S2)</w:t>
      </w:r>
      <w:r>
        <w:rPr>
          <w:rFonts w:eastAsia="Arial" w:cstheme="majorBidi"/>
          <w:sz w:val="21"/>
          <w:szCs w:val="20"/>
        </w:rPr>
        <w:t>. The data acquired at the two labs show good consistencies for Ir, Rh, Pt and Pd. Os and Ru concentrations in chalcopyrite acquired at the IGCAS are slightly lower compared to the data acquired at CODES.</w:t>
      </w:r>
    </w:p>
    <w:p>
      <w:pPr>
        <w:pStyle w:val="4"/>
        <w:sectPr>
          <w:pgSz w:w="16838" w:h="11906" w:orient="landscape"/>
          <w:pgMar w:top="720" w:right="720" w:bottom="720" w:left="720" w:header="0" w:footer="0" w:gutter="0"/>
          <w:cols w:space="425" w:num="1"/>
          <w:docGrid w:type="lines" w:linePitch="326" w:charSpace="0"/>
        </w:sectPr>
      </w:pPr>
    </w:p>
    <w:p>
      <w:pPr>
        <w:ind w:firstLine="0" w:firstLineChars="0"/>
        <w:jc w:val="center"/>
        <w:rPr>
          <w:lang w:val="en-GB"/>
        </w:rPr>
      </w:pPr>
      <w:r>
        <w:drawing>
          <wp:inline distT="0" distB="0" distL="0" distR="0">
            <wp:extent cx="6151245" cy="8286750"/>
            <wp:effectExtent l="0" t="0" r="1905"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53525" cy="8288974"/>
                    </a:xfrm>
                    <a:prstGeom prst="rect">
                      <a:avLst/>
                    </a:prstGeom>
                    <a:noFill/>
                    <a:ln>
                      <a:noFill/>
                    </a:ln>
                  </pic:spPr>
                </pic:pic>
              </a:graphicData>
            </a:graphic>
          </wp:inline>
        </w:drawing>
      </w:r>
    </w:p>
    <w:p>
      <w:pPr>
        <w:pStyle w:val="4"/>
      </w:pPr>
      <w:r>
        <w:rPr>
          <w:b/>
          <w:bCs/>
        </w:rPr>
        <w:t>Fig. S4.</w:t>
      </w:r>
      <w:r>
        <w:t xml:space="preserve"> Back-scattered electron images of typical platinum group minerals (PGM) in the BMS of the Jinchuan massive ores (A-I) and the Noril’sk massive ores (J-R). </w:t>
      </w:r>
      <w:bookmarkStart w:id="19" w:name="OLE_LINK3"/>
      <w:bookmarkStart w:id="20" w:name="OLE_LINK15"/>
      <w:r>
        <w:t>Abbreviations:</w:t>
      </w:r>
      <w:bookmarkEnd w:id="19"/>
      <w:bookmarkStart w:id="21" w:name="OLE_LINK6"/>
      <w:r>
        <w:t xml:space="preserve"> (Ir-Rh-Pt)AsS</w:t>
      </w:r>
      <w:bookmarkEnd w:id="21"/>
      <w:r>
        <w:t xml:space="preserve"> =</w:t>
      </w:r>
      <w:bookmarkStart w:id="22" w:name="OLE_LINK43"/>
      <w:r>
        <w:t xml:space="preserve"> irarsite-hollingworthite-platarsite solid solution</w:t>
      </w:r>
      <w:bookmarkEnd w:id="22"/>
      <w:r>
        <w:t>,</w:t>
      </w:r>
      <w:bookmarkStart w:id="23" w:name="OLE_LINK16"/>
      <w:r>
        <w:t xml:space="preserve"> CGSS = cobaltite-gersdorffite solid solution</w:t>
      </w:r>
      <w:bookmarkEnd w:id="20"/>
      <w:r>
        <w:t xml:space="preserve">, </w:t>
      </w:r>
      <w:bookmarkEnd w:id="23"/>
      <w:bookmarkStart w:id="24" w:name="OLE_LINK20"/>
      <w:r>
        <w:t>PdTe</w:t>
      </w:r>
      <w:bookmarkEnd w:id="24"/>
      <w:r>
        <w:rPr>
          <w:vertAlign w:val="subscript"/>
        </w:rPr>
        <w:t xml:space="preserve">2 </w:t>
      </w:r>
      <w:r>
        <w:t>=</w:t>
      </w:r>
      <w:bookmarkStart w:id="25" w:name="OLE_LINK18"/>
      <w:r>
        <w:t xml:space="preserve"> merenskyite</w:t>
      </w:r>
      <w:bookmarkEnd w:id="25"/>
      <w:r>
        <w:t>, PtS = cooperite, PtAs</w:t>
      </w:r>
      <w:r>
        <w:rPr>
          <w:vertAlign w:val="subscript"/>
        </w:rPr>
        <w:t xml:space="preserve">2 </w:t>
      </w:r>
      <w:r>
        <w:t>= sperrylite, (</w:t>
      </w:r>
      <w:r>
        <w:rPr>
          <w:kern w:val="0"/>
          <w:lang w:val="en-GB"/>
        </w:rPr>
        <w:t>PtPd)</w:t>
      </w:r>
      <w:r>
        <w:rPr>
          <w:kern w:val="0"/>
          <w:vertAlign w:val="subscript"/>
          <w:lang w:val="en-GB"/>
        </w:rPr>
        <w:t>3</w:t>
      </w:r>
      <w:r>
        <w:rPr>
          <w:kern w:val="0"/>
          <w:lang w:val="en-GB"/>
        </w:rPr>
        <w:t>Sn</w:t>
      </w:r>
      <w:r>
        <w:t xml:space="preserve"> = atokite, PtTe</w:t>
      </w:r>
      <w:r>
        <w:rPr>
          <w:vertAlign w:val="subscript"/>
        </w:rPr>
        <w:t xml:space="preserve">2 </w:t>
      </w:r>
      <w:r>
        <w:t>= moncheite, Pd</w:t>
      </w:r>
      <w:r>
        <w:rPr>
          <w:vertAlign w:val="subscript"/>
        </w:rPr>
        <w:t>2</w:t>
      </w:r>
      <w:r>
        <w:t>Sn = paolovite, Pt</w:t>
      </w:r>
      <w:r>
        <w:rPr>
          <w:vertAlign w:val="subscript"/>
        </w:rPr>
        <w:t>3</w:t>
      </w:r>
      <w:r>
        <w:t>Fe = isoferroplatinum.</w:t>
      </w:r>
    </w:p>
    <w:p>
      <w:pPr>
        <w:ind w:firstLine="199" w:firstLineChars="83"/>
        <w:sectPr>
          <w:headerReference r:id="rId11" w:type="default"/>
          <w:pgSz w:w="11906" w:h="16838"/>
          <w:pgMar w:top="720" w:right="720" w:bottom="720" w:left="720" w:header="0" w:footer="0" w:gutter="0"/>
          <w:cols w:space="425" w:num="1"/>
          <w:docGrid w:type="lines" w:linePitch="326" w:charSpace="0"/>
        </w:sectPr>
      </w:pPr>
    </w:p>
    <w:p>
      <w:pPr>
        <w:ind w:firstLine="0" w:firstLineChars="0"/>
        <w:jc w:val="center"/>
      </w:pPr>
      <w:r>
        <w:drawing>
          <wp:inline distT="0" distB="0" distL="0" distR="0">
            <wp:extent cx="7648575" cy="4150360"/>
            <wp:effectExtent l="0" t="0" r="0" b="2540"/>
            <wp:docPr id="15" name="图片 14"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表, 饼图&#10;&#10;描述已自动生成"/>
                    <pic:cNvPicPr>
                      <a:picLocks noChangeAspect="1"/>
                    </pic:cNvPicPr>
                  </pic:nvPicPr>
                  <pic:blipFill>
                    <a:blip r:embed="rId17"/>
                    <a:stretch>
                      <a:fillRect/>
                    </a:stretch>
                  </pic:blipFill>
                  <pic:spPr>
                    <a:xfrm>
                      <a:off x="0" y="0"/>
                      <a:ext cx="7655602" cy="4154449"/>
                    </a:xfrm>
                    <a:prstGeom prst="rect">
                      <a:avLst/>
                    </a:prstGeom>
                  </pic:spPr>
                </pic:pic>
              </a:graphicData>
            </a:graphic>
          </wp:inline>
        </w:drawing>
      </w:r>
    </w:p>
    <w:p>
      <w:pPr>
        <w:spacing w:line="360" w:lineRule="auto"/>
        <w:ind w:firstLine="0" w:firstLineChars="0"/>
        <w:rPr>
          <w:rFonts w:cs="Arial"/>
          <w:b/>
          <w:bCs/>
          <w:sz w:val="21"/>
          <w:szCs w:val="21"/>
        </w:rPr>
      </w:pPr>
      <w:r>
        <w:rPr>
          <w:rFonts w:cs="Arial"/>
          <w:b/>
          <w:bCs/>
          <w:sz w:val="21"/>
          <w:szCs w:val="21"/>
        </w:rPr>
        <w:t xml:space="preserve">Fig. S5. </w:t>
      </w:r>
      <w:r>
        <w:rPr>
          <w:rFonts w:eastAsia="Arial" w:cs="Arial"/>
          <w:sz w:val="21"/>
          <w:szCs w:val="21"/>
        </w:rPr>
        <w:t>Pie diagrams showing relative proportions (%) of PGM with different morphologies and locations from the Jinchuan</w:t>
      </w:r>
      <w:r>
        <w:rPr>
          <w:rFonts w:cs="Arial"/>
          <w:sz w:val="21"/>
          <w:szCs w:val="21"/>
        </w:rPr>
        <w:t xml:space="preserve"> massive ores</w:t>
      </w:r>
      <w:r>
        <w:rPr>
          <w:rFonts w:eastAsia="Arial" w:cs="Arial"/>
          <w:sz w:val="21"/>
          <w:szCs w:val="21"/>
        </w:rPr>
        <w:t xml:space="preserve"> (A-C) and the Noril’sk massive ores (D-F) </w:t>
      </w:r>
      <w:bookmarkStart w:id="26" w:name="_Hlk78890511"/>
      <w:r>
        <w:rPr>
          <w:rFonts w:eastAsia="Arial" w:cs="Arial"/>
          <w:sz w:val="21"/>
          <w:szCs w:val="21"/>
        </w:rPr>
        <w:t>based on</w:t>
      </w:r>
      <w:r>
        <w:rPr>
          <w:rFonts w:cs="Arial"/>
          <w:sz w:val="21"/>
          <w:szCs w:val="21"/>
        </w:rPr>
        <w:t xml:space="preserve"> numbers of PGM</w:t>
      </w:r>
      <w:bookmarkEnd w:id="26"/>
      <w:r>
        <w:rPr>
          <w:rFonts w:cs="Arial"/>
          <w:sz w:val="21"/>
          <w:szCs w:val="21"/>
        </w:rPr>
        <w:t xml:space="preserve">. Proportions of euhedral, subhedral and anhedral PGE-sulfarsenides and CGSS minerals (A) and Pt-Pd-semimetal minerals from the Jinchuan massive ores (C). Locations of euhedral to subhedral (Ir-Rh-Pt)AsS minerals from the Jinchuan massive ores (B). Proportions of euhedral, subhedral and anhedral of PtS and </w:t>
      </w:r>
      <w:r>
        <w:rPr>
          <w:rFonts w:hint="eastAsia" w:cs="Arial"/>
          <w:sz w:val="21"/>
          <w:szCs w:val="21"/>
        </w:rPr>
        <w:t>P</w:t>
      </w:r>
      <w:r>
        <w:rPr>
          <w:rFonts w:cs="Arial"/>
          <w:sz w:val="21"/>
          <w:szCs w:val="21"/>
        </w:rPr>
        <w:t xml:space="preserve">t-Pd-semimetal minerals (D) and PtS and Pd-Pd-semimetal minerals in pyrrhotite (F) from the Noril’sk massive ores. Locations of euhedral to subhedral PtS and </w:t>
      </w:r>
      <w:r>
        <w:rPr>
          <w:rFonts w:hint="eastAsia" w:cs="Arial"/>
          <w:sz w:val="21"/>
          <w:szCs w:val="21"/>
        </w:rPr>
        <w:t>P</w:t>
      </w:r>
      <w:r>
        <w:rPr>
          <w:rFonts w:cs="Arial"/>
          <w:sz w:val="21"/>
          <w:szCs w:val="21"/>
        </w:rPr>
        <w:t xml:space="preserve">t-Pd-semimetal minerals from the Noril’sk massive ores (E). Abbreviations: n = number of PGM, </w:t>
      </w:r>
      <w:r>
        <w:rPr>
          <w:rFonts w:hint="eastAsia" w:cs="Arial"/>
          <w:sz w:val="21"/>
          <w:szCs w:val="21"/>
        </w:rPr>
        <w:t>BMS</w:t>
      </w:r>
      <w:r>
        <w:rPr>
          <w:rFonts w:cs="Arial"/>
          <w:sz w:val="21"/>
          <w:szCs w:val="21"/>
        </w:rPr>
        <w:t xml:space="preserve"> = </w:t>
      </w:r>
      <w:r>
        <w:rPr>
          <w:rFonts w:hint="eastAsia" w:cs="Arial"/>
          <w:sz w:val="21"/>
          <w:szCs w:val="21"/>
        </w:rPr>
        <w:t>base</w:t>
      </w:r>
      <w:r>
        <w:rPr>
          <w:rFonts w:cs="Arial"/>
          <w:sz w:val="21"/>
          <w:szCs w:val="21"/>
        </w:rPr>
        <w:t xml:space="preserve"> metal sulfide, </w:t>
      </w:r>
      <w:r>
        <w:rPr>
          <w:rFonts w:hint="eastAsia" w:cs="Arial"/>
          <w:sz w:val="21"/>
          <w:szCs w:val="21"/>
        </w:rPr>
        <w:t>BMS</w:t>
      </w:r>
      <w:r>
        <w:rPr>
          <w:rFonts w:cs="Arial"/>
          <w:sz w:val="21"/>
          <w:szCs w:val="21"/>
        </w:rPr>
        <w:t xml:space="preserve">-BMS = BMS grain boundaries. BMS-Mag = BMS-secondary magnetite boundary, </w:t>
      </w:r>
      <w:r>
        <w:rPr>
          <w:rFonts w:hint="eastAsia" w:cs="Arial"/>
          <w:sz w:val="21"/>
          <w:szCs w:val="21"/>
        </w:rPr>
        <w:t>Loop</w:t>
      </w:r>
      <w:r>
        <w:rPr>
          <w:rFonts w:cs="Arial"/>
          <w:sz w:val="21"/>
          <w:szCs w:val="21"/>
        </w:rPr>
        <w:t xml:space="preserve"> textured pentlandite = pentlandite formed through a peritectic reaction </w:t>
      </w:r>
      <w:r>
        <w:rPr>
          <w:rFonts w:cs="Arial"/>
          <w:color w:val="0070C0"/>
          <w:sz w:val="21"/>
          <w:szCs w:val="21"/>
        </w:rPr>
        <w:t>(</w:t>
      </w:r>
      <w:r>
        <w:rPr>
          <w:rFonts w:hint="eastAsia" w:cs="Arial"/>
          <w:color w:val="0070C0"/>
          <w:sz w:val="21"/>
          <w:szCs w:val="21"/>
        </w:rPr>
        <w:t>Text</w:t>
      </w:r>
      <w:r>
        <w:rPr>
          <w:rFonts w:cs="Arial"/>
          <w:color w:val="0070C0"/>
          <w:sz w:val="21"/>
          <w:szCs w:val="21"/>
        </w:rPr>
        <w:t xml:space="preserve"> S1)</w:t>
      </w:r>
      <w:r>
        <w:rPr>
          <w:rFonts w:cs="Arial"/>
          <w:sz w:val="21"/>
          <w:szCs w:val="21"/>
        </w:rPr>
        <w:t>, Other pentlandite = pentlandite occur as large subhedral grains, chain-like polycrystalline aggregates around pyrrhotite and exsolution flames in pyrrhotite.</w:t>
      </w:r>
    </w:p>
    <w:p>
      <w:pPr>
        <w:spacing w:line="360" w:lineRule="auto"/>
        <w:ind w:firstLine="0" w:firstLineChars="0"/>
        <w:rPr>
          <w:i/>
          <w:iCs/>
          <w:sz w:val="21"/>
          <w:szCs w:val="21"/>
        </w:rPr>
        <w:sectPr>
          <w:pgSz w:w="16838" w:h="11906" w:orient="landscape"/>
          <w:pgMar w:top="720" w:right="720" w:bottom="720" w:left="720" w:header="0" w:footer="0" w:gutter="0"/>
          <w:cols w:space="425" w:num="1"/>
          <w:docGrid w:type="lines" w:linePitch="326" w:charSpace="0"/>
        </w:sectPr>
      </w:pPr>
    </w:p>
    <w:p>
      <w:pPr>
        <w:pStyle w:val="4"/>
      </w:pPr>
      <w:r>
        <w:drawing>
          <wp:inline distT="0" distB="0" distL="0" distR="0">
            <wp:extent cx="6544945" cy="4943475"/>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574473" cy="4965493"/>
                    </a:xfrm>
                    <a:prstGeom prst="rect">
                      <a:avLst/>
                    </a:prstGeom>
                    <a:noFill/>
                  </pic:spPr>
                </pic:pic>
              </a:graphicData>
            </a:graphic>
          </wp:inline>
        </w:drawing>
      </w:r>
    </w:p>
    <w:p>
      <w:pPr>
        <w:pStyle w:val="4"/>
      </w:pPr>
      <w:r>
        <w:rPr>
          <w:b/>
          <w:bCs/>
        </w:rPr>
        <w:t>Fig. S6.</w:t>
      </w:r>
      <w:r>
        <w:t xml:space="preserve"> Equilibrium temperature-dependent variations of sulfur fugacity of sulfide liquids from the Jinchuan deposit and the Noril’sk deposits. The sulfur fugacity was calculated based on the average compositions of pyrrhotite in the Jinchuan and Noril’sk massive ores </w:t>
      </w:r>
      <w:r>
        <w:rPr>
          <w:color w:val="0070C0"/>
        </w:rPr>
        <w:t>(Table S4)</w:t>
      </w:r>
      <w:r>
        <w:t xml:space="preserve"> using the equation from </w:t>
      </w:r>
      <w:r>
        <w:rPr>
          <w:color w:val="0070C0"/>
        </w:rPr>
        <w:t>Toulmin and Barton (1964)</w:t>
      </w:r>
      <w:r>
        <w:t>. The sulfide liquids of the Jinchuan deposit and the Noril’sk deposits were assumed to be closed systems based on the absence of magmatic magnetite at the sulfide-silicate boundaries</w:t>
      </w:r>
      <w:r>
        <w:rPr>
          <w:color w:val="0070C0"/>
        </w:rPr>
        <w:t xml:space="preserve"> (Fonseca et al., 2008)</w:t>
      </w:r>
      <w:r>
        <w:t xml:space="preserve">. The pyrrhotite in both the deposits were assumed to be in equilibrium with the sulfide liquids during crystallization. </w:t>
      </w:r>
    </w:p>
    <w:p>
      <w:pPr>
        <w:ind w:firstLine="480"/>
        <w:sectPr>
          <w:pgSz w:w="11906" w:h="16838"/>
          <w:pgMar w:top="720" w:right="720" w:bottom="720" w:left="720" w:header="0" w:footer="0" w:gutter="0"/>
          <w:cols w:space="425" w:num="1"/>
          <w:docGrid w:type="lines" w:linePitch="326" w:charSpace="0"/>
        </w:sectPr>
      </w:pPr>
    </w:p>
    <w:p>
      <w:pPr>
        <w:ind w:firstLine="0" w:firstLineChars="0"/>
        <w:rPr>
          <w:b/>
          <w:bCs/>
          <w:sz w:val="28"/>
          <w:szCs w:val="24"/>
        </w:rPr>
      </w:pPr>
      <w:r>
        <w:rPr>
          <w:rFonts w:hint="eastAsia"/>
          <w:b/>
          <w:bCs/>
          <w:sz w:val="28"/>
          <w:szCs w:val="24"/>
        </w:rPr>
        <w:t>T</w:t>
      </w:r>
      <w:r>
        <w:rPr>
          <w:b/>
          <w:bCs/>
          <w:sz w:val="28"/>
          <w:szCs w:val="24"/>
        </w:rPr>
        <w:t>ables S1-5</w:t>
      </w:r>
    </w:p>
    <w:p>
      <w:pPr>
        <w:widowControl/>
        <w:spacing w:line="360" w:lineRule="auto"/>
        <w:ind w:firstLine="0" w:firstLineChars="0"/>
        <w:rPr>
          <w:rFonts w:cs="Arial"/>
          <w:color w:val="000000"/>
          <w:kern w:val="0"/>
          <w:sz w:val="22"/>
        </w:rPr>
      </w:pPr>
      <w:r>
        <w:rPr>
          <w:rFonts w:cs="Arial"/>
          <w:b/>
          <w:bCs/>
          <w:color w:val="000000"/>
          <w:kern w:val="0"/>
          <w:sz w:val="22"/>
        </w:rPr>
        <w:t>Caption for Table S1</w:t>
      </w:r>
      <w:r>
        <w:rPr>
          <w:rFonts w:hint="eastAsia" w:cs="Arial"/>
          <w:b/>
          <w:bCs/>
          <w:color w:val="000000"/>
          <w:kern w:val="0"/>
          <w:sz w:val="22"/>
        </w:rPr>
        <w:t>.</w:t>
      </w:r>
      <w:r>
        <w:rPr>
          <w:rFonts w:cs="Arial"/>
          <w:b/>
          <w:bCs/>
          <w:color w:val="000000"/>
          <w:kern w:val="0"/>
          <w:sz w:val="22"/>
        </w:rPr>
        <w:t xml:space="preserve"> </w:t>
      </w:r>
      <w:r>
        <w:rPr>
          <w:rFonts w:cs="Arial"/>
          <w:color w:val="000000"/>
          <w:kern w:val="0"/>
          <w:sz w:val="22"/>
        </w:rPr>
        <w:t>Whole-rock concentrations of S, metals and semimetals of the Jinchuan and Noril’sk sulfide ores</w:t>
      </w:r>
      <w:bookmarkStart w:id="27" w:name="OLE_LINK11"/>
      <w:bookmarkStart w:id="28" w:name="OLE_LINK12"/>
      <w:r>
        <w:rPr>
          <w:rFonts w:cs="Arial"/>
          <w:color w:val="000000"/>
          <w:kern w:val="0"/>
          <w:sz w:val="22"/>
        </w:rPr>
        <w:t xml:space="preserve"> (as the Excel file which is uploaded separately).</w:t>
      </w:r>
      <w:bookmarkEnd w:id="27"/>
      <w:bookmarkEnd w:id="28"/>
    </w:p>
    <w:p>
      <w:pPr>
        <w:widowControl/>
        <w:spacing w:line="360" w:lineRule="auto"/>
        <w:ind w:firstLine="0" w:firstLineChars="0"/>
        <w:rPr>
          <w:rFonts w:cs="Arial"/>
          <w:color w:val="000000"/>
          <w:kern w:val="0"/>
          <w:sz w:val="22"/>
        </w:rPr>
      </w:pPr>
      <w:r>
        <w:rPr>
          <w:rFonts w:cs="Arial"/>
          <w:b/>
          <w:bCs/>
          <w:color w:val="000000"/>
          <w:kern w:val="0"/>
          <w:sz w:val="22"/>
        </w:rPr>
        <w:t xml:space="preserve">Caption for Table S2. </w:t>
      </w:r>
      <w:r>
        <w:rPr>
          <w:rFonts w:cs="Arial"/>
          <w:color w:val="000000"/>
          <w:kern w:val="0"/>
          <w:sz w:val="22"/>
        </w:rPr>
        <w:t>LA-ICPMS results for the metals and semimetals in pyrrhotite (Po), pentlandite (Pn) and chalcopyrite (Ccp) of the massive ores (MS) from the Jinchuan deposit and Noril'sk deposits (as the Excel file which is uploaded separately).</w:t>
      </w: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ind w:firstLine="0" w:firstLineChars="0"/>
        <w:rPr>
          <w:rFonts w:cs="Arial"/>
          <w:color w:val="000000"/>
          <w:kern w:val="0"/>
          <w:sz w:val="22"/>
        </w:rPr>
      </w:pPr>
    </w:p>
    <w:p>
      <w:pPr>
        <w:widowControl/>
        <w:spacing w:line="240" w:lineRule="auto"/>
        <w:ind w:firstLine="0" w:firstLineChars="0"/>
        <w:rPr>
          <w:rFonts w:cs="Arial"/>
          <w:i/>
          <w:iCs/>
          <w:color w:val="000000"/>
          <w:kern w:val="0"/>
          <w:sz w:val="22"/>
        </w:rPr>
      </w:pPr>
      <w:bookmarkStart w:id="29" w:name="OLE_LINK21"/>
      <w:bookmarkStart w:id="30" w:name="OLE_LINK19"/>
      <w:r>
        <w:rPr>
          <w:rFonts w:cs="Arial"/>
          <w:i/>
          <w:iCs/>
          <w:color w:val="000000"/>
          <w:kern w:val="0"/>
          <w:sz w:val="22"/>
        </w:rPr>
        <w:t xml:space="preserve"> </w:t>
      </w:r>
    </w:p>
    <w:bookmarkEnd w:id="29"/>
    <w:bookmarkEnd w:id="30"/>
    <w:p>
      <w:pPr>
        <w:widowControl/>
        <w:spacing w:line="240" w:lineRule="auto"/>
        <w:ind w:firstLine="0" w:firstLineChars="0"/>
        <w:rPr>
          <w:rFonts w:cs="Arial"/>
          <w:color w:val="000000"/>
          <w:kern w:val="0"/>
          <w:sz w:val="22"/>
        </w:rPr>
      </w:pPr>
      <w:r>
        <w:rPr>
          <w:rFonts w:cs="Arial"/>
          <w:b/>
          <w:bCs/>
          <w:color w:val="000000"/>
          <w:kern w:val="0"/>
          <w:sz w:val="22"/>
        </w:rPr>
        <w:t>Table S3</w:t>
      </w:r>
      <w:r>
        <w:rPr>
          <w:rFonts w:cs="Arial"/>
          <w:color w:val="000000"/>
          <w:kern w:val="0"/>
          <w:sz w:val="22"/>
        </w:rPr>
        <w:t>. The calculated proportion (%) of each element occurs as solid solution in pyrrhotite (Po), pentlandite (Pn), chalcopyrite (Ccp) of each sample and sum of averages from the Jinchuan deposit and the Noril'sk deposits.</w:t>
      </w:r>
    </w:p>
    <w:tbl>
      <w:tblPr>
        <w:tblStyle w:val="10"/>
        <w:tblW w:w="5000" w:type="pct"/>
        <w:tblInd w:w="0" w:type="dxa"/>
        <w:tblLayout w:type="fixed"/>
        <w:tblCellMar>
          <w:top w:w="0" w:type="dxa"/>
          <w:left w:w="108" w:type="dxa"/>
          <w:bottom w:w="0" w:type="dxa"/>
          <w:right w:w="108" w:type="dxa"/>
        </w:tblCellMar>
      </w:tblPr>
      <w:tblGrid>
        <w:gridCol w:w="1149"/>
        <w:gridCol w:w="1327"/>
        <w:gridCol w:w="1117"/>
        <w:gridCol w:w="1006"/>
        <w:gridCol w:w="1718"/>
        <w:gridCol w:w="928"/>
        <w:gridCol w:w="931"/>
        <w:gridCol w:w="931"/>
        <w:gridCol w:w="931"/>
        <w:gridCol w:w="931"/>
        <w:gridCol w:w="928"/>
        <w:gridCol w:w="931"/>
        <w:gridCol w:w="931"/>
        <w:gridCol w:w="931"/>
        <w:gridCol w:w="925"/>
      </w:tblGrid>
      <w:tr>
        <w:tblPrEx>
          <w:tblCellMar>
            <w:top w:w="0" w:type="dxa"/>
            <w:left w:w="108" w:type="dxa"/>
            <w:bottom w:w="0" w:type="dxa"/>
            <w:right w:w="108" w:type="dxa"/>
          </w:tblCellMar>
        </w:tblPrEx>
        <w:trPr>
          <w:trHeight w:val="249" w:hRule="exact"/>
        </w:trPr>
        <w:tc>
          <w:tcPr>
            <w:tcW w:w="36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Deposit</w:t>
            </w:r>
          </w:p>
        </w:tc>
        <w:tc>
          <w:tcPr>
            <w:tcW w:w="425"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Sample</w:t>
            </w:r>
          </w:p>
        </w:tc>
        <w:tc>
          <w:tcPr>
            <w:tcW w:w="35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Ore type</w:t>
            </w:r>
          </w:p>
        </w:tc>
        <w:tc>
          <w:tcPr>
            <w:tcW w:w="322"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Mineral</w:t>
            </w:r>
          </w:p>
        </w:tc>
        <w:tc>
          <w:tcPr>
            <w:tcW w:w="550"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rPr>
                <w:sz w:val="20"/>
                <w:szCs w:val="20"/>
              </w:rPr>
            </w:pPr>
            <w:r>
              <w:rPr>
                <w:sz w:val="20"/>
                <w:szCs w:val="20"/>
              </w:rPr>
              <w:t>BMS proportion</w:t>
            </w:r>
          </w:p>
        </w:tc>
        <w:tc>
          <w:tcPr>
            <w:tcW w:w="297"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Co</w:t>
            </w:r>
          </w:p>
        </w:tc>
        <w:tc>
          <w:tcPr>
            <w:tcW w:w="29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Ir</w:t>
            </w:r>
          </w:p>
        </w:tc>
        <w:tc>
          <w:tcPr>
            <w:tcW w:w="29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Ru</w:t>
            </w:r>
          </w:p>
        </w:tc>
        <w:tc>
          <w:tcPr>
            <w:tcW w:w="29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Rh</w:t>
            </w:r>
          </w:p>
        </w:tc>
        <w:tc>
          <w:tcPr>
            <w:tcW w:w="29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Pt</w:t>
            </w:r>
          </w:p>
        </w:tc>
        <w:tc>
          <w:tcPr>
            <w:tcW w:w="297"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Pd</w:t>
            </w:r>
          </w:p>
        </w:tc>
        <w:tc>
          <w:tcPr>
            <w:tcW w:w="29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As</w:t>
            </w:r>
          </w:p>
        </w:tc>
        <w:tc>
          <w:tcPr>
            <w:tcW w:w="29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Sb</w:t>
            </w:r>
          </w:p>
        </w:tc>
        <w:tc>
          <w:tcPr>
            <w:tcW w:w="298"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Te</w:t>
            </w:r>
          </w:p>
        </w:tc>
        <w:tc>
          <w:tcPr>
            <w:tcW w:w="296" w:type="pct"/>
            <w:tcBorders>
              <w:top w:val="single" w:color="auto" w:sz="12"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Bi</w:t>
            </w:r>
          </w:p>
        </w:tc>
      </w:tr>
      <w:tr>
        <w:tblPrEx>
          <w:tblCellMar>
            <w:top w:w="0" w:type="dxa"/>
            <w:left w:w="108" w:type="dxa"/>
            <w:bottom w:w="0" w:type="dxa"/>
            <w:right w:w="108" w:type="dxa"/>
          </w:tblCellMar>
        </w:tblPrEx>
        <w:trPr>
          <w:trHeight w:val="249" w:hRule="exact"/>
        </w:trPr>
        <w:tc>
          <w:tcPr>
            <w:tcW w:w="368" w:type="pct"/>
            <w:vMerge w:val="restart"/>
            <w:tcBorders>
              <w:top w:val="single" w:color="auto" w:sz="12" w:space="0"/>
              <w:left w:val="nil"/>
              <w:bottom w:val="single" w:color="000000" w:sz="8"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Jinchuan</w:t>
            </w:r>
          </w:p>
        </w:tc>
        <w:tc>
          <w:tcPr>
            <w:tcW w:w="425" w:type="pct"/>
            <w:vMerge w:val="restart"/>
            <w:tcBorders>
              <w:top w:val="single" w:color="auto" w:sz="12"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JC06-803</w:t>
            </w:r>
          </w:p>
        </w:tc>
        <w:tc>
          <w:tcPr>
            <w:tcW w:w="358" w:type="pct"/>
            <w:vMerge w:val="restart"/>
            <w:tcBorders>
              <w:top w:val="single" w:color="auto" w:sz="12"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62</w:t>
            </w:r>
          </w:p>
        </w:tc>
        <w:tc>
          <w:tcPr>
            <w:tcW w:w="297"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4</w:t>
            </w:r>
          </w:p>
          <w:p>
            <w:pPr>
              <w:widowControl/>
              <w:adjustRightInd w:val="0"/>
              <w:snapToGrid w:val="0"/>
              <w:spacing w:line="240" w:lineRule="auto"/>
              <w:ind w:firstLine="0" w:firstLineChars="0"/>
              <w:jc w:val="center"/>
              <w:rPr>
                <w:rFonts w:cs="Arial"/>
                <w:sz w:val="20"/>
                <w:szCs w:val="20"/>
              </w:rPr>
            </w:pPr>
          </w:p>
        </w:tc>
        <w:tc>
          <w:tcPr>
            <w:tcW w:w="298"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44</w:t>
            </w:r>
          </w:p>
        </w:tc>
        <w:tc>
          <w:tcPr>
            <w:tcW w:w="298"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102</w:t>
            </w:r>
          </w:p>
        </w:tc>
        <w:tc>
          <w:tcPr>
            <w:tcW w:w="298"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11</w:t>
            </w:r>
          </w:p>
        </w:tc>
        <w:tc>
          <w:tcPr>
            <w:tcW w:w="298"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6</w:t>
            </w:r>
          </w:p>
        </w:tc>
        <w:tc>
          <w:tcPr>
            <w:tcW w:w="297"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w:t>
            </w:r>
          </w:p>
        </w:tc>
        <w:tc>
          <w:tcPr>
            <w:tcW w:w="298"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5</w:t>
            </w:r>
          </w:p>
        </w:tc>
        <w:tc>
          <w:tcPr>
            <w:tcW w:w="298"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26</w:t>
            </w:r>
          </w:p>
        </w:tc>
        <w:tc>
          <w:tcPr>
            <w:tcW w:w="296" w:type="pct"/>
            <w:tcBorders>
              <w:top w:val="single" w:color="auto" w:sz="12"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31</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17</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116</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17</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30</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13</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88</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50</w:t>
            </w:r>
          </w:p>
        </w:tc>
        <w:tc>
          <w:tcPr>
            <w:tcW w:w="296"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2</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0</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2</w:t>
            </w:r>
          </w:p>
        </w:tc>
        <w:tc>
          <w:tcPr>
            <w:tcW w:w="296"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sz w:val="20"/>
                <w:szCs w:val="20"/>
              </w:rPr>
              <w:t>6</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JC06-806</w:t>
            </w:r>
          </w:p>
        </w:tc>
        <w:tc>
          <w:tcPr>
            <w:tcW w:w="358"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64</w:t>
            </w: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110</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5</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8</w:t>
            </w: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11</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18</w:t>
            </w:r>
          </w:p>
        </w:tc>
        <w:tc>
          <w:tcPr>
            <w:tcW w:w="296"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15</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16</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96</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28</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5</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81</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9</w:t>
            </w:r>
          </w:p>
        </w:tc>
        <w:tc>
          <w:tcPr>
            <w:tcW w:w="296"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0</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4</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w:t>
            </w:r>
          </w:p>
        </w:tc>
        <w:tc>
          <w:tcPr>
            <w:tcW w:w="296"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JC06-807</w:t>
            </w:r>
          </w:p>
        </w:tc>
        <w:tc>
          <w:tcPr>
            <w:tcW w:w="358"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58</w:t>
            </w: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38</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112</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23</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9</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29</w:t>
            </w:r>
          </w:p>
        </w:tc>
        <w:tc>
          <w:tcPr>
            <w:tcW w:w="296"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17</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17</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109</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7</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35</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53</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80</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4</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75</w:t>
            </w:r>
          </w:p>
        </w:tc>
        <w:tc>
          <w:tcPr>
            <w:tcW w:w="296"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7</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4</w:t>
            </w:r>
          </w:p>
        </w:tc>
        <w:tc>
          <w:tcPr>
            <w:tcW w:w="296"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JC06-809</w:t>
            </w:r>
          </w:p>
        </w:tc>
        <w:tc>
          <w:tcPr>
            <w:tcW w:w="358"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56</w:t>
            </w: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41</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116</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19</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4</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8</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23</w:t>
            </w:r>
          </w:p>
        </w:tc>
        <w:tc>
          <w:tcPr>
            <w:tcW w:w="296"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19</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16</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94</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6</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24</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20</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66</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33</w:t>
            </w:r>
          </w:p>
        </w:tc>
        <w:tc>
          <w:tcPr>
            <w:tcW w:w="296"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0</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6</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2</w:t>
            </w:r>
          </w:p>
        </w:tc>
        <w:tc>
          <w:tcPr>
            <w:tcW w:w="296"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20"/>
              </w:rPr>
            </w:pPr>
            <w:r>
              <w:rPr>
                <w:rFonts w:cs="Arial"/>
                <w:sz w:val="20"/>
                <w:szCs w:val="20"/>
              </w:rPr>
              <w:t>5</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Average</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60</w:t>
            </w: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31</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110</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14</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7</w:t>
            </w:r>
          </w:p>
        </w:tc>
        <w:tc>
          <w:tcPr>
            <w:tcW w:w="297"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8</w:t>
            </w:r>
          </w:p>
        </w:tc>
        <w:tc>
          <w:tcPr>
            <w:tcW w:w="298"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24</w:t>
            </w:r>
          </w:p>
        </w:tc>
        <w:tc>
          <w:tcPr>
            <w:tcW w:w="296" w:type="pct"/>
            <w:tcBorders>
              <w:top w:val="single" w:color="D8D8D8" w:themeColor="background1" w:themeShade="D9" w:sz="4" w:space="0"/>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21</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vMerge w:val="continue"/>
            <w:tcBorders>
              <w:left w:val="nil"/>
              <w:right w:val="nil"/>
            </w:tcBorders>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16</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104</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8</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29</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23</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w:t>
            </w:r>
          </w:p>
        </w:tc>
        <w:tc>
          <w:tcPr>
            <w:tcW w:w="297"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79</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w:t>
            </w:r>
          </w:p>
        </w:tc>
        <w:tc>
          <w:tcPr>
            <w:tcW w:w="298"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42</w:t>
            </w:r>
          </w:p>
        </w:tc>
        <w:tc>
          <w:tcPr>
            <w:tcW w:w="296" w:type="pct"/>
            <w:tcBorders>
              <w:top w:val="nil"/>
              <w:left w:val="nil"/>
              <w:bottom w:val="nil"/>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vMerge w:val="continue"/>
            <w:tcBorders>
              <w:left w:val="nil"/>
              <w:bottom w:val="single" w:color="FFFFFF" w:themeColor="background1" w:sz="4" w:space="0"/>
              <w:right w:val="nil"/>
            </w:tcBorders>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7"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0</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w:t>
            </w:r>
          </w:p>
        </w:tc>
        <w:tc>
          <w:tcPr>
            <w:tcW w:w="298"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w:t>
            </w:r>
          </w:p>
        </w:tc>
        <w:tc>
          <w:tcPr>
            <w:tcW w:w="296" w:type="pct"/>
            <w:tcBorders>
              <w:top w:val="nil"/>
              <w:left w:val="nil"/>
              <w:bottom w:val="single" w:color="D8D8D8" w:themeColor="background1" w:themeShade="D9" w:sz="4"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4</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tcBorders>
              <w:top w:val="single" w:color="FFFFFF" w:themeColor="background1" w:sz="4" w:space="0"/>
              <w:left w:val="nil"/>
              <w:bottom w:val="single" w:color="auto" w:sz="8"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Sum of averages</w:t>
            </w:r>
          </w:p>
        </w:tc>
        <w:tc>
          <w:tcPr>
            <w:tcW w:w="322" w:type="pct"/>
            <w:tcBorders>
              <w:top w:val="single" w:color="D8D8D8" w:themeColor="background1" w:themeShade="D9" w:sz="4" w:space="0"/>
              <w:left w:val="nil"/>
              <w:bottom w:val="single" w:color="auto" w:sz="8"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550" w:type="pct"/>
            <w:tcBorders>
              <w:top w:val="single" w:color="D8D8D8" w:themeColor="background1" w:themeShade="D9" w:sz="4" w:space="0"/>
              <w:left w:val="nil"/>
              <w:bottom w:val="single" w:color="auto" w:sz="8"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82</w:t>
            </w:r>
          </w:p>
        </w:tc>
        <w:tc>
          <w:tcPr>
            <w:tcW w:w="297"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106</w:t>
            </w:r>
          </w:p>
        </w:tc>
        <w:tc>
          <w:tcPr>
            <w:tcW w:w="298"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39</w:t>
            </w:r>
          </w:p>
        </w:tc>
        <w:tc>
          <w:tcPr>
            <w:tcW w:w="298"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141</w:t>
            </w:r>
          </w:p>
        </w:tc>
        <w:tc>
          <w:tcPr>
            <w:tcW w:w="298"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37</w:t>
            </w:r>
          </w:p>
        </w:tc>
        <w:tc>
          <w:tcPr>
            <w:tcW w:w="298"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10</w:t>
            </w:r>
          </w:p>
        </w:tc>
        <w:tc>
          <w:tcPr>
            <w:tcW w:w="297"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81</w:t>
            </w:r>
          </w:p>
        </w:tc>
        <w:tc>
          <w:tcPr>
            <w:tcW w:w="298"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5</w:t>
            </w:r>
          </w:p>
        </w:tc>
        <w:tc>
          <w:tcPr>
            <w:tcW w:w="298"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12</w:t>
            </w:r>
          </w:p>
        </w:tc>
        <w:tc>
          <w:tcPr>
            <w:tcW w:w="298"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69</w:t>
            </w:r>
          </w:p>
        </w:tc>
        <w:tc>
          <w:tcPr>
            <w:tcW w:w="296" w:type="pct"/>
            <w:tcBorders>
              <w:top w:val="single" w:color="D8D8D8" w:themeColor="background1" w:themeShade="D9" w:sz="4" w:space="0"/>
              <w:left w:val="nil"/>
              <w:bottom w:val="single" w:color="auto" w:sz="8" w:space="0"/>
              <w:right w:val="nil"/>
            </w:tcBorders>
            <w:shd w:val="clear" w:color="auto" w:fill="auto"/>
            <w:noWrap/>
          </w:tcPr>
          <w:p>
            <w:pPr>
              <w:widowControl/>
              <w:adjustRightInd w:val="0"/>
              <w:snapToGrid w:val="0"/>
              <w:spacing w:line="240" w:lineRule="auto"/>
              <w:ind w:firstLine="0" w:firstLineChars="0"/>
              <w:jc w:val="center"/>
              <w:rPr>
                <w:rFonts w:cs="Arial"/>
                <w:sz w:val="20"/>
                <w:szCs w:val="18"/>
              </w:rPr>
            </w:pPr>
            <w:r>
              <w:rPr>
                <w:sz w:val="20"/>
                <w:szCs w:val="18"/>
              </w:rPr>
              <w:t>26</w:t>
            </w:r>
          </w:p>
        </w:tc>
      </w:tr>
      <w:tr>
        <w:trPr>
          <w:trHeight w:val="249" w:hRule="exact"/>
        </w:trPr>
        <w:tc>
          <w:tcPr>
            <w:tcW w:w="368" w:type="pct"/>
            <w:vMerge w:val="restart"/>
            <w:tcBorders>
              <w:top w:val="nil"/>
              <w:left w:val="nil"/>
              <w:bottom w:val="single" w:color="000000" w:sz="8"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Noril'sk</w:t>
            </w:r>
          </w:p>
        </w:tc>
        <w:tc>
          <w:tcPr>
            <w:tcW w:w="425" w:type="pct"/>
            <w:vMerge w:val="restart"/>
            <w:tcBorders>
              <w:top w:val="nil"/>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Rn32</w:t>
            </w:r>
          </w:p>
        </w:tc>
        <w:tc>
          <w:tcPr>
            <w:tcW w:w="358" w:type="pct"/>
            <w:vMerge w:val="restart"/>
            <w:tcBorders>
              <w:top w:val="nil"/>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45</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30</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62</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75</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w:t>
            </w:r>
          </w:p>
        </w:tc>
        <w:tc>
          <w:tcPr>
            <w:tcW w:w="296"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8</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98</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12</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11</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6"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11</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7</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c>
          <w:tcPr>
            <w:tcW w:w="296"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Rn33</w:t>
            </w:r>
          </w:p>
        </w:tc>
        <w:tc>
          <w:tcPr>
            <w:tcW w:w="358"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51</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107</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243</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116</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64</w:t>
            </w:r>
          </w:p>
        </w:tc>
        <w:tc>
          <w:tcPr>
            <w:tcW w:w="296"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43</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8</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102</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30</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23</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56</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12</w:t>
            </w:r>
          </w:p>
        </w:tc>
        <w:tc>
          <w:tcPr>
            <w:tcW w:w="296"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9</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7</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18</w:t>
            </w:r>
          </w:p>
        </w:tc>
        <w:tc>
          <w:tcPr>
            <w:tcW w:w="296"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Rn61</w:t>
            </w:r>
          </w:p>
        </w:tc>
        <w:tc>
          <w:tcPr>
            <w:tcW w:w="358"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45</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55</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21</w:t>
            </w:r>
          </w:p>
        </w:tc>
        <w:tc>
          <w:tcPr>
            <w:tcW w:w="296"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10</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107</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104</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c>
          <w:tcPr>
            <w:tcW w:w="296"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7</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cs="Arial"/>
                <w:sz w:val="20"/>
                <w:szCs w:val="20"/>
              </w:rPr>
              <w:t>-</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14</w:t>
            </w:r>
          </w:p>
        </w:tc>
        <w:tc>
          <w:tcPr>
            <w:tcW w:w="296"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Rn63</w:t>
            </w:r>
          </w:p>
        </w:tc>
        <w:tc>
          <w:tcPr>
            <w:tcW w:w="358"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52</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42</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37</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12</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22</w:t>
            </w:r>
          </w:p>
        </w:tc>
        <w:tc>
          <w:tcPr>
            <w:tcW w:w="296"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16</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11</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105</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20</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169</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w:t>
            </w:r>
          </w:p>
        </w:tc>
        <w:tc>
          <w:tcPr>
            <w:tcW w:w="296"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10</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9</w:t>
            </w:r>
          </w:p>
        </w:tc>
        <w:tc>
          <w:tcPr>
            <w:tcW w:w="296"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Rn65</w:t>
            </w:r>
          </w:p>
        </w:tc>
        <w:tc>
          <w:tcPr>
            <w:tcW w:w="358" w:type="pct"/>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MS</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50</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54</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93</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66</w:t>
            </w:r>
          </w:p>
        </w:tc>
        <w:tc>
          <w:tcPr>
            <w:tcW w:w="296"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18</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8</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95</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96</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16</w:t>
            </w:r>
          </w:p>
        </w:tc>
        <w:tc>
          <w:tcPr>
            <w:tcW w:w="296"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21</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425"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58" w:type="pct"/>
            <w:vMerge w:val="continue"/>
            <w:tcBorders>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w:t>
            </w:r>
          </w:p>
        </w:tc>
        <w:tc>
          <w:tcPr>
            <w:tcW w:w="296"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4</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vMerge w:val="restart"/>
            <w:tcBorders>
              <w:top w:val="single" w:color="D8D8D8" w:themeColor="background1" w:themeShade="D9" w:sz="4" w:space="0"/>
              <w:left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Average</w:t>
            </w:r>
          </w:p>
        </w:tc>
        <w:tc>
          <w:tcPr>
            <w:tcW w:w="322"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Po</w:t>
            </w:r>
          </w:p>
        </w:tc>
        <w:tc>
          <w:tcPr>
            <w:tcW w:w="550"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48</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55</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99</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82</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2</w:t>
            </w:r>
          </w:p>
        </w:tc>
        <w:tc>
          <w:tcPr>
            <w:tcW w:w="297"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11</w:t>
            </w:r>
          </w:p>
        </w:tc>
        <w:tc>
          <w:tcPr>
            <w:tcW w:w="298"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37</w:t>
            </w:r>
          </w:p>
        </w:tc>
        <w:tc>
          <w:tcPr>
            <w:tcW w:w="296" w:type="pct"/>
            <w:tcBorders>
              <w:top w:val="single" w:color="D8D8D8" w:themeColor="background1" w:themeShade="D9" w:sz="4"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19</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vMerge w:val="continue"/>
            <w:tcBorders>
              <w:left w:val="nil"/>
              <w:right w:val="nil"/>
            </w:tcBorders>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Pn</w:t>
            </w:r>
          </w:p>
        </w:tc>
        <w:tc>
          <w:tcPr>
            <w:tcW w:w="550"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9</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6</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12</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7</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12</w:t>
            </w:r>
          </w:p>
        </w:tc>
        <w:tc>
          <w:tcPr>
            <w:tcW w:w="297"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101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w:t>
            </w:r>
          </w:p>
        </w:tc>
        <w:tc>
          <w:tcPr>
            <w:tcW w:w="296" w:type="pct"/>
            <w:tcBorders>
              <w:top w:val="nil"/>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8</w:t>
            </w:r>
          </w:p>
        </w:tc>
      </w:tr>
      <w:tr>
        <w:tblPrEx>
          <w:tblCellMar>
            <w:top w:w="0" w:type="dxa"/>
            <w:left w:w="108" w:type="dxa"/>
            <w:bottom w:w="0" w:type="dxa"/>
            <w:right w:w="108" w:type="dxa"/>
          </w:tblCellMar>
        </w:tblPrEx>
        <w:trPr>
          <w:trHeight w:val="249" w:hRule="exact"/>
        </w:trPr>
        <w:tc>
          <w:tcPr>
            <w:tcW w:w="368" w:type="pct"/>
            <w:vMerge w:val="continue"/>
            <w:tcBorders>
              <w:top w:val="nil"/>
              <w:left w:val="nil"/>
              <w:bottom w:val="single" w:color="000000" w:sz="8"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vMerge w:val="continue"/>
            <w:tcBorders>
              <w:left w:val="nil"/>
              <w:bottom w:val="single" w:color="FFFFFF" w:themeColor="background1" w:sz="4" w:space="0"/>
              <w:right w:val="nil"/>
            </w:tcBorders>
            <w:vAlign w:val="center"/>
          </w:tcPr>
          <w:p>
            <w:pPr>
              <w:widowControl/>
              <w:adjustRightInd w:val="0"/>
              <w:snapToGrid w:val="0"/>
              <w:spacing w:line="240" w:lineRule="auto"/>
              <w:ind w:firstLine="0" w:firstLineChars="0"/>
              <w:jc w:val="center"/>
              <w:rPr>
                <w:sz w:val="20"/>
                <w:szCs w:val="20"/>
              </w:rPr>
            </w:pPr>
          </w:p>
        </w:tc>
        <w:tc>
          <w:tcPr>
            <w:tcW w:w="322"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Ccp</w:t>
            </w:r>
          </w:p>
        </w:tc>
        <w:tc>
          <w:tcPr>
            <w:tcW w:w="550"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8</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7"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0</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c>
          <w:tcPr>
            <w:tcW w:w="298"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11</w:t>
            </w:r>
          </w:p>
        </w:tc>
        <w:tc>
          <w:tcPr>
            <w:tcW w:w="296" w:type="pct"/>
            <w:tcBorders>
              <w:top w:val="nil"/>
              <w:left w:val="nil"/>
              <w:bottom w:val="single" w:color="D8D8D8" w:themeColor="background1" w:themeShade="D9" w:sz="4" w:space="0"/>
              <w:right w:val="nil"/>
            </w:tcBorders>
            <w:shd w:val="clear" w:color="auto" w:fill="auto"/>
            <w:noWrap/>
            <w:vAlign w:val="center"/>
          </w:tcPr>
          <w:p>
            <w:pPr>
              <w:widowControl/>
              <w:adjustRightInd w:val="0"/>
              <w:snapToGrid w:val="0"/>
              <w:spacing w:line="240" w:lineRule="auto"/>
              <w:ind w:firstLine="0" w:firstLineChars="0"/>
              <w:jc w:val="center"/>
              <w:rPr>
                <w:rFonts w:cs="Arial"/>
                <w:sz w:val="20"/>
                <w:szCs w:val="20"/>
              </w:rPr>
            </w:pPr>
            <w:r>
              <w:rPr>
                <w:rFonts w:eastAsia="等线" w:cs="Arial"/>
                <w:sz w:val="20"/>
                <w:szCs w:val="20"/>
              </w:rPr>
              <w:t>3</w:t>
            </w:r>
          </w:p>
        </w:tc>
      </w:tr>
      <w:tr>
        <w:trPr>
          <w:trHeight w:val="249" w:hRule="exact"/>
        </w:trPr>
        <w:tc>
          <w:tcPr>
            <w:tcW w:w="368" w:type="pct"/>
            <w:vMerge w:val="continue"/>
            <w:tcBorders>
              <w:top w:val="nil"/>
              <w:left w:val="nil"/>
              <w:bottom w:val="single" w:color="auto" w:sz="12" w:space="0"/>
              <w:right w:val="nil"/>
            </w:tcBorders>
            <w:vAlign w:val="center"/>
          </w:tcPr>
          <w:p>
            <w:pPr>
              <w:widowControl/>
              <w:adjustRightInd w:val="0"/>
              <w:snapToGrid w:val="0"/>
              <w:spacing w:line="240" w:lineRule="auto"/>
              <w:ind w:firstLine="0" w:firstLineChars="0"/>
              <w:jc w:val="center"/>
              <w:rPr>
                <w:sz w:val="20"/>
                <w:szCs w:val="20"/>
              </w:rPr>
            </w:pPr>
          </w:p>
        </w:tc>
        <w:tc>
          <w:tcPr>
            <w:tcW w:w="783" w:type="pct"/>
            <w:gridSpan w:val="2"/>
            <w:tcBorders>
              <w:top w:val="single" w:color="FFFFFF" w:themeColor="background1"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Sum of averages</w:t>
            </w:r>
          </w:p>
        </w:tc>
        <w:tc>
          <w:tcPr>
            <w:tcW w:w="322"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p>
        </w:tc>
        <w:tc>
          <w:tcPr>
            <w:tcW w:w="550"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66</w:t>
            </w:r>
          </w:p>
        </w:tc>
        <w:tc>
          <w:tcPr>
            <w:tcW w:w="297"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103</w:t>
            </w:r>
          </w:p>
        </w:tc>
        <w:tc>
          <w:tcPr>
            <w:tcW w:w="298"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63</w:t>
            </w:r>
          </w:p>
        </w:tc>
        <w:tc>
          <w:tcPr>
            <w:tcW w:w="298"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114</w:t>
            </w:r>
          </w:p>
        </w:tc>
        <w:tc>
          <w:tcPr>
            <w:tcW w:w="298"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89</w:t>
            </w:r>
          </w:p>
        </w:tc>
        <w:tc>
          <w:tcPr>
            <w:tcW w:w="298"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15</w:t>
            </w:r>
          </w:p>
        </w:tc>
        <w:tc>
          <w:tcPr>
            <w:tcW w:w="297"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101</w:t>
            </w:r>
          </w:p>
        </w:tc>
        <w:tc>
          <w:tcPr>
            <w:tcW w:w="298"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w:t>
            </w:r>
          </w:p>
        </w:tc>
        <w:tc>
          <w:tcPr>
            <w:tcW w:w="298"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17</w:t>
            </w:r>
          </w:p>
        </w:tc>
        <w:tc>
          <w:tcPr>
            <w:tcW w:w="298"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55</w:t>
            </w:r>
          </w:p>
        </w:tc>
        <w:tc>
          <w:tcPr>
            <w:tcW w:w="296" w:type="pct"/>
            <w:tcBorders>
              <w:top w:val="single" w:color="D8D8D8" w:themeColor="background1" w:themeShade="D9" w:sz="4" w:space="0"/>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sz w:val="20"/>
                <w:szCs w:val="20"/>
              </w:rPr>
            </w:pPr>
            <w:r>
              <w:rPr>
                <w:sz w:val="20"/>
                <w:szCs w:val="20"/>
              </w:rPr>
              <w:t>30</w:t>
            </w:r>
          </w:p>
        </w:tc>
      </w:tr>
    </w:tbl>
    <w:p>
      <w:pPr>
        <w:widowControl/>
        <w:spacing w:line="240" w:lineRule="auto"/>
        <w:ind w:firstLine="0" w:firstLineChars="0"/>
        <w:rPr>
          <w:rFonts w:cs="Arial"/>
          <w:i/>
          <w:iCs/>
          <w:color w:val="000000"/>
          <w:kern w:val="0"/>
          <w:sz w:val="22"/>
        </w:rPr>
      </w:pPr>
      <w:r>
        <w:rPr>
          <w:rFonts w:cs="Arial"/>
          <w:i/>
          <w:iCs/>
          <w:color w:val="000000"/>
          <w:kern w:val="0"/>
          <w:sz w:val="22"/>
        </w:rPr>
        <w:t xml:space="preserve">Note: MS = massive ore, “-” = not calculated (whole-rock concentration is lower than the detection limit of LA-ICP-MS). The BMS proportion was calculated using BMS (wt%)/whole rock (wt%). Ru and Pd were averages from Ru99 and Ru101 and Pd105 and Pd106, respectively. </w:t>
      </w:r>
    </w:p>
    <w:p>
      <w:pPr>
        <w:widowControl/>
        <w:spacing w:line="240" w:lineRule="auto"/>
        <w:ind w:firstLine="0" w:firstLineChars="0"/>
        <w:rPr>
          <w:rFonts w:cs="Arial"/>
          <w:color w:val="000000"/>
          <w:kern w:val="0"/>
          <w:sz w:val="22"/>
        </w:rPr>
      </w:pPr>
      <w:r>
        <w:rPr>
          <w:rFonts w:cs="Arial"/>
          <w:b/>
          <w:bCs/>
          <w:color w:val="000000"/>
          <w:kern w:val="0"/>
          <w:sz w:val="22"/>
        </w:rPr>
        <w:t>Table S4</w:t>
      </w:r>
      <w:r>
        <w:rPr>
          <w:rFonts w:cs="Arial"/>
          <w:color w:val="000000"/>
          <w:kern w:val="0"/>
          <w:sz w:val="22"/>
        </w:rPr>
        <w:t>. EPMA average results for pyrrhotite (Po), pentlandite (Pn) and chalcopyrite (Ccp) of the massive ores (MS) from the Jinchuan deposit and the Noril'sk deposits.</w:t>
      </w:r>
    </w:p>
    <w:tbl>
      <w:tblPr>
        <w:tblStyle w:val="10"/>
        <w:tblW w:w="4478" w:type="pct"/>
        <w:tblInd w:w="0" w:type="dxa"/>
        <w:tblLayout w:type="autofit"/>
        <w:tblCellMar>
          <w:top w:w="0" w:type="dxa"/>
          <w:left w:w="108" w:type="dxa"/>
          <w:bottom w:w="0" w:type="dxa"/>
          <w:right w:w="108" w:type="dxa"/>
        </w:tblCellMar>
      </w:tblPr>
      <w:tblGrid>
        <w:gridCol w:w="1429"/>
        <w:gridCol w:w="1620"/>
        <w:gridCol w:w="1167"/>
        <w:gridCol w:w="1167"/>
        <w:gridCol w:w="1167"/>
        <w:gridCol w:w="1239"/>
        <w:gridCol w:w="1239"/>
        <w:gridCol w:w="1239"/>
        <w:gridCol w:w="1239"/>
        <w:gridCol w:w="1239"/>
        <w:gridCol w:w="1239"/>
      </w:tblGrid>
      <w:tr>
        <w:tblPrEx>
          <w:tblCellMar>
            <w:top w:w="0" w:type="dxa"/>
            <w:left w:w="108" w:type="dxa"/>
            <w:bottom w:w="0" w:type="dxa"/>
            <w:right w:w="108" w:type="dxa"/>
          </w:tblCellMar>
        </w:tblPrEx>
        <w:trPr>
          <w:trHeight w:val="283" w:hRule="atLeast"/>
        </w:trPr>
        <w:tc>
          <w:tcPr>
            <w:tcW w:w="511" w:type="pct"/>
            <w:vMerge w:val="restart"/>
            <w:tcBorders>
              <w:top w:val="single" w:color="auto" w:sz="12" w:space="0"/>
              <w:left w:val="nil"/>
              <w:bottom w:val="single" w:color="000000" w:sz="8"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Deposit</w:t>
            </w:r>
          </w:p>
        </w:tc>
        <w:tc>
          <w:tcPr>
            <w:tcW w:w="579" w:type="pct"/>
            <w:vMerge w:val="restart"/>
            <w:tcBorders>
              <w:top w:val="single" w:color="auto" w:sz="12" w:space="0"/>
              <w:left w:val="nil"/>
              <w:bottom w:val="single" w:color="000000" w:sz="8" w:space="0"/>
              <w:right w:val="nil"/>
            </w:tcBorders>
            <w:shd w:val="clear" w:color="auto" w:fill="auto"/>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Sample No.</w:t>
            </w:r>
          </w:p>
        </w:tc>
        <w:tc>
          <w:tcPr>
            <w:tcW w:w="417" w:type="pct"/>
            <w:vMerge w:val="restart"/>
            <w:tcBorders>
              <w:top w:val="single" w:color="auto" w:sz="12" w:space="0"/>
              <w:left w:val="nil"/>
              <w:bottom w:val="single" w:color="000000" w:sz="8" w:space="0"/>
              <w:right w:val="nil"/>
            </w:tcBorders>
            <w:shd w:val="clear" w:color="auto" w:fill="auto"/>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Ore type</w:t>
            </w:r>
          </w:p>
        </w:tc>
        <w:tc>
          <w:tcPr>
            <w:tcW w:w="417" w:type="pct"/>
            <w:vMerge w:val="restart"/>
            <w:tcBorders>
              <w:top w:val="single" w:color="auto" w:sz="12" w:space="0"/>
              <w:left w:val="nil"/>
              <w:bottom w:val="single" w:color="000000" w:sz="8" w:space="0"/>
              <w:right w:val="nil"/>
            </w:tcBorders>
            <w:shd w:val="clear" w:color="auto" w:fill="auto"/>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Mineral</w:t>
            </w:r>
          </w:p>
        </w:tc>
        <w:tc>
          <w:tcPr>
            <w:tcW w:w="417" w:type="pct"/>
            <w:vMerge w:val="restart"/>
            <w:tcBorders>
              <w:top w:val="single" w:color="auto" w:sz="12" w:space="0"/>
              <w:left w:val="nil"/>
              <w:bottom w:val="single" w:color="000000" w:sz="8"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Point (n)</w:t>
            </w:r>
          </w:p>
        </w:tc>
        <w:tc>
          <w:tcPr>
            <w:tcW w:w="443"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S</w:t>
            </w:r>
          </w:p>
        </w:tc>
        <w:tc>
          <w:tcPr>
            <w:tcW w:w="443"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Co</w:t>
            </w:r>
          </w:p>
        </w:tc>
        <w:tc>
          <w:tcPr>
            <w:tcW w:w="443"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Fe</w:t>
            </w:r>
          </w:p>
        </w:tc>
        <w:tc>
          <w:tcPr>
            <w:tcW w:w="443"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Ni</w:t>
            </w:r>
          </w:p>
        </w:tc>
        <w:tc>
          <w:tcPr>
            <w:tcW w:w="443"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Cu</w:t>
            </w:r>
          </w:p>
        </w:tc>
        <w:tc>
          <w:tcPr>
            <w:tcW w:w="443" w:type="pct"/>
            <w:tcBorders>
              <w:top w:val="single" w:color="auto" w:sz="12" w:space="0"/>
              <w:left w:val="nil"/>
              <w:bottom w:val="nil"/>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Total</w:t>
            </w:r>
          </w:p>
        </w:tc>
      </w:tr>
      <w:tr>
        <w:tblPrEx>
          <w:tblCellMar>
            <w:top w:w="0" w:type="dxa"/>
            <w:left w:w="108" w:type="dxa"/>
            <w:bottom w:w="0" w:type="dxa"/>
            <w:right w:w="108" w:type="dxa"/>
          </w:tblCellMar>
        </w:tblPrEx>
        <w:trPr>
          <w:trHeight w:val="283" w:hRule="atLeast"/>
        </w:trPr>
        <w:tc>
          <w:tcPr>
            <w:tcW w:w="511" w:type="pct"/>
            <w:vMerge w:val="continue"/>
            <w:tcBorders>
              <w:top w:val="nil"/>
              <w:left w:val="nil"/>
              <w:bottom w:val="single" w:color="auto" w:sz="12" w:space="0"/>
              <w:righ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top w:val="nil"/>
              <w:left w:val="nil"/>
              <w:bottom w:val="single" w:color="auto" w:sz="12" w:space="0"/>
              <w:righ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top w:val="nil"/>
              <w:left w:val="nil"/>
              <w:bottom w:val="single" w:color="auto" w:sz="12" w:space="0"/>
              <w:righ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top w:val="nil"/>
              <w:left w:val="nil"/>
              <w:bottom w:val="single" w:color="auto" w:sz="12" w:space="0"/>
              <w:righ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top w:val="nil"/>
              <w:left w:val="nil"/>
              <w:bottom w:val="single" w:color="auto" w:sz="12" w:space="0"/>
              <w:righ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43" w:type="pct"/>
            <w:tcBorders>
              <w:top w:val="nil"/>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wt%</w:t>
            </w:r>
          </w:p>
        </w:tc>
        <w:tc>
          <w:tcPr>
            <w:tcW w:w="443" w:type="pct"/>
            <w:tcBorders>
              <w:top w:val="nil"/>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wt%</w:t>
            </w:r>
          </w:p>
        </w:tc>
        <w:tc>
          <w:tcPr>
            <w:tcW w:w="443" w:type="pct"/>
            <w:tcBorders>
              <w:top w:val="nil"/>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wt%</w:t>
            </w:r>
          </w:p>
        </w:tc>
        <w:tc>
          <w:tcPr>
            <w:tcW w:w="443" w:type="pct"/>
            <w:tcBorders>
              <w:top w:val="nil"/>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wt%</w:t>
            </w:r>
          </w:p>
        </w:tc>
        <w:tc>
          <w:tcPr>
            <w:tcW w:w="443" w:type="pct"/>
            <w:tcBorders>
              <w:top w:val="nil"/>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wt%</w:t>
            </w:r>
          </w:p>
        </w:tc>
        <w:tc>
          <w:tcPr>
            <w:tcW w:w="443" w:type="pct"/>
            <w:tcBorders>
              <w:top w:val="nil"/>
              <w:left w:val="nil"/>
              <w:bottom w:val="single" w:color="auto" w:sz="12" w:space="0"/>
              <w:righ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wt%</w:t>
            </w:r>
          </w:p>
        </w:tc>
      </w:tr>
      <w:tr>
        <w:tblPrEx>
          <w:tblCellMar>
            <w:top w:w="0" w:type="dxa"/>
            <w:left w:w="108" w:type="dxa"/>
            <w:bottom w:w="0" w:type="dxa"/>
            <w:right w:w="108" w:type="dxa"/>
          </w:tblCellMar>
        </w:tblPrEx>
        <w:trPr>
          <w:trHeight w:val="283" w:hRule="atLeast"/>
        </w:trPr>
        <w:tc>
          <w:tcPr>
            <w:tcW w:w="511" w:type="pct"/>
            <w:vMerge w:val="restart"/>
            <w:tcBorders>
              <w:top w:val="single" w:color="auto" w:sz="12" w:space="0"/>
              <w:left w:val="nil"/>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Jinchuan</w:t>
            </w:r>
          </w:p>
        </w:tc>
        <w:tc>
          <w:tcPr>
            <w:tcW w:w="579" w:type="pct"/>
            <w:vMerge w:val="restar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JC06-803</w:t>
            </w:r>
          </w:p>
        </w:tc>
        <w:tc>
          <w:tcPr>
            <w:tcW w:w="417" w:type="pct"/>
            <w:vMerge w:val="restar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39.1</w:t>
            </w:r>
          </w:p>
        </w:tc>
        <w:tc>
          <w:tcPr>
            <w:tcW w:w="443"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58.8</w:t>
            </w:r>
          </w:p>
        </w:tc>
        <w:tc>
          <w:tcPr>
            <w:tcW w:w="443"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98.4</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33.0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0.8</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29.2</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36.6</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99.6</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30.5</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34.1</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99.7</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JC06-806</w:t>
            </w:r>
          </w:p>
        </w:tc>
        <w:tc>
          <w:tcPr>
            <w:tcW w:w="417"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39.4</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59.2</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99.2</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5</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33.4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0.8</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35.3</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100.0</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35.2</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30.9</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100.1</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JC06-807</w:t>
            </w:r>
          </w:p>
        </w:tc>
        <w:tc>
          <w:tcPr>
            <w:tcW w:w="417"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8</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38.8</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59.2</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98.5</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5</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32.7</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0.7</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36.0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99.5</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34.7</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30.6</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34.3</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99.6</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JC06-809</w:t>
            </w:r>
          </w:p>
        </w:tc>
        <w:tc>
          <w:tcPr>
            <w:tcW w:w="417"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39.2</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59.0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98.8</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32.9</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0.8</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36.0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99.6</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4"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4"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35.2</w:t>
            </w:r>
          </w:p>
        </w:tc>
        <w:tc>
          <w:tcPr>
            <w:tcW w:w="443"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30.5</w:t>
            </w:r>
          </w:p>
        </w:tc>
        <w:tc>
          <w:tcPr>
            <w:tcW w:w="443"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34.1</w:t>
            </w:r>
          </w:p>
        </w:tc>
        <w:tc>
          <w:tcPr>
            <w:tcW w:w="443" w:type="pct"/>
            <w:tcBorders>
              <w:bottom w:val="single" w:color="D8D8D8" w:themeColor="background1" w:themeShade="D9"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99.8</w:t>
            </w:r>
          </w:p>
        </w:tc>
      </w:tr>
      <w:tr>
        <w:tblPrEx>
          <w:tblCellMar>
            <w:top w:w="0" w:type="dxa"/>
            <w:left w:w="108" w:type="dxa"/>
            <w:bottom w:w="0" w:type="dxa"/>
            <w:right w:w="108" w:type="dxa"/>
          </w:tblCellMar>
        </w:tblPrEx>
        <w:trPr>
          <w:trHeight w:val="283" w:hRule="atLeast"/>
        </w:trPr>
        <w:tc>
          <w:tcPr>
            <w:tcW w:w="511" w:type="pct"/>
            <w:vMerge w:val="restart"/>
            <w:tcBorders>
              <w:top w:val="single" w:color="auto" w:sz="4" w:space="0"/>
              <w:left w:val="nil"/>
            </w:tcBorders>
            <w:shd w:val="clear" w:color="auto" w:fill="auto"/>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Noril'sk</w:t>
            </w:r>
          </w:p>
        </w:tc>
        <w:tc>
          <w:tcPr>
            <w:tcW w:w="579" w:type="pct"/>
            <w:vMerge w:val="restar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Rn32</w:t>
            </w:r>
          </w:p>
        </w:tc>
        <w:tc>
          <w:tcPr>
            <w:tcW w:w="417" w:type="pct"/>
            <w:vMerge w:val="restar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38.4</w:t>
            </w:r>
          </w:p>
        </w:tc>
        <w:tc>
          <w:tcPr>
            <w:tcW w:w="443"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59.5</w:t>
            </w:r>
          </w:p>
        </w:tc>
        <w:tc>
          <w:tcPr>
            <w:tcW w:w="443"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0.6</w:t>
            </w:r>
          </w:p>
        </w:tc>
        <w:tc>
          <w:tcPr>
            <w:tcW w:w="443"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auto" w:sz="4"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98.5</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32.7</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30.1</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35.2</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99.4</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34.7</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30.7</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34.2</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99.7</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Rn33</w:t>
            </w:r>
          </w:p>
        </w:tc>
        <w:tc>
          <w:tcPr>
            <w:tcW w:w="417"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38.6</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59.4</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98.6</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33.0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30.2</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34.9</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99.6</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35.1</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30.5</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34.1</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99.7</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Rn61</w:t>
            </w:r>
          </w:p>
        </w:tc>
        <w:tc>
          <w:tcPr>
            <w:tcW w:w="417"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38.1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60.3</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99.0</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32.8</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1.2</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31.4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99.8</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34.8</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30.7</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34.2</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99.7</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Rn63</w:t>
            </w:r>
          </w:p>
        </w:tc>
        <w:tc>
          <w:tcPr>
            <w:tcW w:w="417"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38.4</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59.8</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98.7</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32.8</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1.2</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30.8</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34.9</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99.8</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D8D8D8" w:themeColor="background1" w:themeShade="D9" w:sz="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30.7</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34.2</w:t>
            </w:r>
          </w:p>
        </w:tc>
        <w:tc>
          <w:tcPr>
            <w:tcW w:w="443" w:type="pct"/>
            <w:tcBorders>
              <w:bottom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100.0</w:t>
            </w:r>
          </w:p>
        </w:tc>
      </w:tr>
      <w:tr>
        <w:tblPrEx>
          <w:tblCellMar>
            <w:top w:w="0" w:type="dxa"/>
            <w:left w:w="108" w:type="dxa"/>
            <w:bottom w:w="0" w:type="dxa"/>
            <w:right w:w="108" w:type="dxa"/>
          </w:tblCellMar>
        </w:tblPrEx>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Rn65</w:t>
            </w:r>
          </w:p>
        </w:tc>
        <w:tc>
          <w:tcPr>
            <w:tcW w:w="417" w:type="pct"/>
            <w:vMerge w:val="restar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MS</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Po</w:t>
            </w:r>
          </w:p>
        </w:tc>
        <w:tc>
          <w:tcPr>
            <w:tcW w:w="417"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38.4</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0.1</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59.6</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0.5</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top w:val="single" w:color="D8D8D8" w:themeColor="background1" w:themeShade="D9" w:sz="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98.6</w:t>
            </w:r>
          </w:p>
        </w:tc>
      </w:tr>
      <w:tr>
        <w:trPr>
          <w:trHeight w:val="283" w:hRule="atLeast"/>
        </w:trPr>
        <w:tc>
          <w:tcPr>
            <w:tcW w:w="511" w:type="pct"/>
            <w:vMerge w:val="continue"/>
            <w:tcBorders>
              <w:left w:val="nil"/>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Pn</w:t>
            </w:r>
          </w:p>
        </w:tc>
        <w:tc>
          <w:tcPr>
            <w:tcW w:w="417"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3</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32.8</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1.4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30.4</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35.1</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99.7</w:t>
            </w:r>
          </w:p>
        </w:tc>
      </w:tr>
      <w:tr>
        <w:tblPrEx>
          <w:tblCellMar>
            <w:top w:w="0" w:type="dxa"/>
            <w:left w:w="108" w:type="dxa"/>
            <w:bottom w:w="0" w:type="dxa"/>
            <w:right w:w="108" w:type="dxa"/>
          </w:tblCellMar>
        </w:tblPrEx>
        <w:trPr>
          <w:trHeight w:val="283" w:hRule="atLeast"/>
        </w:trPr>
        <w:tc>
          <w:tcPr>
            <w:tcW w:w="511" w:type="pct"/>
            <w:vMerge w:val="continue"/>
            <w:tcBorders>
              <w:left w:val="nil"/>
              <w:bottom w:val="single" w:color="auto" w:sz="1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579" w:type="pct"/>
            <w:vMerge w:val="continue"/>
            <w:tcBorders>
              <w:bottom w:val="single" w:color="auto" w:sz="1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vMerge w:val="continue"/>
            <w:tcBorders>
              <w:bottom w:val="single" w:color="auto" w:sz="12" w:space="0"/>
            </w:tcBorders>
            <w:vAlign w:val="center"/>
          </w:tcPr>
          <w:p>
            <w:pPr>
              <w:widowControl/>
              <w:adjustRightInd w:val="0"/>
              <w:snapToGrid w:val="0"/>
              <w:spacing w:line="240" w:lineRule="auto"/>
              <w:ind w:firstLine="0" w:firstLineChars="0"/>
              <w:jc w:val="left"/>
              <w:rPr>
                <w:rFonts w:cs="Arial"/>
                <w:color w:val="000000"/>
                <w:kern w:val="0"/>
                <w:sz w:val="20"/>
                <w:szCs w:val="20"/>
              </w:rPr>
            </w:pPr>
          </w:p>
        </w:tc>
        <w:tc>
          <w:tcPr>
            <w:tcW w:w="417"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Ccp</w:t>
            </w:r>
          </w:p>
        </w:tc>
        <w:tc>
          <w:tcPr>
            <w:tcW w:w="417"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kern w:val="0"/>
                <w:sz w:val="20"/>
                <w:szCs w:val="20"/>
              </w:rPr>
              <w:t>4</w:t>
            </w:r>
          </w:p>
        </w:tc>
        <w:tc>
          <w:tcPr>
            <w:tcW w:w="443"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34.9</w:t>
            </w:r>
          </w:p>
        </w:tc>
        <w:tc>
          <w:tcPr>
            <w:tcW w:w="443"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30.7</w:t>
            </w:r>
          </w:p>
        </w:tc>
        <w:tc>
          <w:tcPr>
            <w:tcW w:w="443"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0.0</w:t>
            </w:r>
          </w:p>
        </w:tc>
        <w:tc>
          <w:tcPr>
            <w:tcW w:w="443"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34.3</w:t>
            </w:r>
          </w:p>
        </w:tc>
        <w:tc>
          <w:tcPr>
            <w:tcW w:w="443" w:type="pct"/>
            <w:tcBorders>
              <w:bottom w:val="single" w:color="auto" w:sz="12" w:space="0"/>
            </w:tcBorders>
            <w:shd w:val="clear" w:color="auto" w:fill="auto"/>
            <w:noWrap/>
            <w:vAlign w:val="center"/>
          </w:tcPr>
          <w:p>
            <w:pPr>
              <w:widowControl/>
              <w:adjustRightInd w:val="0"/>
              <w:snapToGrid w:val="0"/>
              <w:spacing w:line="240" w:lineRule="auto"/>
              <w:ind w:firstLine="0" w:firstLineChars="0"/>
              <w:jc w:val="center"/>
              <w:rPr>
                <w:rFonts w:cs="Arial"/>
                <w:color w:val="000000"/>
                <w:kern w:val="0"/>
                <w:sz w:val="20"/>
                <w:szCs w:val="20"/>
              </w:rPr>
            </w:pPr>
            <w:r>
              <w:rPr>
                <w:rFonts w:cs="Arial"/>
                <w:color w:val="000000"/>
                <w:sz w:val="20"/>
                <w:szCs w:val="20"/>
              </w:rPr>
              <w:t>99.9</w:t>
            </w:r>
          </w:p>
        </w:tc>
      </w:tr>
    </w:tbl>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spacing w:line="240" w:lineRule="auto"/>
        <w:ind w:firstLine="0" w:firstLineChars="0"/>
        <w:rPr>
          <w:rFonts w:cs="Arial"/>
          <w:color w:val="000000"/>
          <w:kern w:val="0"/>
          <w:sz w:val="22"/>
        </w:rPr>
      </w:pPr>
      <w:r>
        <w:rPr>
          <w:rFonts w:cs="Arial"/>
          <w:b/>
          <w:bCs/>
          <w:color w:val="000000"/>
          <w:kern w:val="0"/>
          <w:sz w:val="22"/>
        </w:rPr>
        <w:t>Table S5A</w:t>
      </w:r>
      <w:r>
        <w:rPr>
          <w:rFonts w:cs="Arial"/>
          <w:color w:val="000000"/>
          <w:kern w:val="0"/>
          <w:sz w:val="22"/>
        </w:rPr>
        <w:t>. Number of PGE-sulfarsenides, CGSS and Pd-semimetal minerals found by SEM and their host minerals in the Jinchuan massive ores.</w:t>
      </w:r>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16"/>
        <w:gridCol w:w="2717"/>
        <w:gridCol w:w="2717"/>
        <w:gridCol w:w="2717"/>
        <w:gridCol w:w="2717"/>
        <w:gridCol w:w="20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vMerge w:val="restart"/>
            <w:tcBorders>
              <w:top w:val="single" w:color="auto" w:sz="12" w:space="0"/>
            </w:tcBorders>
            <w:vAlign w:val="center"/>
          </w:tcPr>
          <w:p>
            <w:pPr>
              <w:spacing w:line="240" w:lineRule="auto"/>
              <w:ind w:firstLine="0" w:firstLineChars="0"/>
              <w:jc w:val="center"/>
              <w:rPr>
                <w:rFonts w:cs="Arial"/>
                <w:color w:val="000000"/>
                <w:kern w:val="0"/>
                <w:sz w:val="22"/>
              </w:rPr>
            </w:pPr>
            <w:r>
              <w:rPr>
                <w:rFonts w:cs="Arial"/>
                <w:color w:val="000000"/>
                <w:kern w:val="0"/>
                <w:sz w:val="22"/>
              </w:rPr>
              <w:t>Locations</w:t>
            </w:r>
          </w:p>
        </w:tc>
        <w:tc>
          <w:tcPr>
            <w:tcW w:w="4130" w:type="pct"/>
            <w:gridSpan w:val="5"/>
            <w:tcBorders>
              <w:top w:val="single" w:color="auto" w:sz="12" w:space="0"/>
              <w:bottom w:val="single" w:color="BEBEBE" w:themeColor="background1" w:themeShade="BF" w:sz="4" w:space="0"/>
            </w:tcBorders>
          </w:tcPr>
          <w:p>
            <w:pPr>
              <w:widowControl/>
              <w:spacing w:line="240" w:lineRule="auto"/>
              <w:ind w:firstLine="0" w:firstLineChars="0"/>
              <w:jc w:val="center"/>
              <w:rPr>
                <w:rFonts w:cs="Arial"/>
                <w:color w:val="000000"/>
                <w:kern w:val="0"/>
                <w:sz w:val="22"/>
              </w:rPr>
            </w:pPr>
            <w:r>
              <w:rPr>
                <w:rFonts w:cs="Arial"/>
                <w:color w:val="000000"/>
                <w:kern w:val="0"/>
                <w:sz w:val="22"/>
              </w:rPr>
              <w:t>Mineral 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vMerge w:val="continue"/>
            <w:tcBorders>
              <w:bottom w:val="single" w:color="auto" w:sz="12" w:space="0"/>
            </w:tcBorders>
          </w:tcPr>
          <w:p>
            <w:pPr>
              <w:widowControl/>
              <w:spacing w:line="240" w:lineRule="auto"/>
              <w:ind w:firstLine="0" w:firstLineChars="0"/>
              <w:jc w:val="center"/>
              <w:rPr>
                <w:rFonts w:cs="Arial"/>
                <w:color w:val="000000"/>
                <w:kern w:val="0"/>
                <w:sz w:val="22"/>
              </w:rPr>
            </w:pPr>
          </w:p>
        </w:tc>
        <w:tc>
          <w:tcPr>
            <w:tcW w:w="870" w:type="pct"/>
            <w:vMerge w:val="restart"/>
            <w:tcBorders>
              <w:top w:val="single" w:color="BEBEBE" w:themeColor="background1" w:themeShade="BF" w:sz="4" w:space="0"/>
            </w:tcBorders>
            <w:noWrap/>
            <w:vAlign w:val="center"/>
          </w:tcPr>
          <w:p>
            <w:pPr>
              <w:spacing w:line="240" w:lineRule="auto"/>
              <w:ind w:firstLine="0" w:firstLineChars="0"/>
              <w:jc w:val="center"/>
              <w:rPr>
                <w:rFonts w:cs="Arial"/>
                <w:color w:val="000000"/>
                <w:kern w:val="0"/>
                <w:sz w:val="22"/>
              </w:rPr>
            </w:pPr>
            <w:r>
              <w:rPr>
                <w:rFonts w:cs="Arial"/>
                <w:color w:val="000000"/>
                <w:kern w:val="0"/>
                <w:sz w:val="22"/>
              </w:rPr>
              <w:t>(Ir-Rh-Pt)AsS</w:t>
            </w:r>
          </w:p>
        </w:tc>
        <w:tc>
          <w:tcPr>
            <w:tcW w:w="870" w:type="pct"/>
            <w:vMerge w:val="restart"/>
            <w:tcBorders>
              <w:top w:val="single" w:color="BEBEBE" w:themeColor="background1" w:themeShade="BF" w:sz="4" w:space="0"/>
            </w:tcBorders>
            <w:noWrap/>
            <w:vAlign w:val="center"/>
          </w:tcPr>
          <w:p>
            <w:pPr>
              <w:spacing w:line="240" w:lineRule="auto"/>
              <w:ind w:firstLine="0" w:firstLineChars="0"/>
              <w:jc w:val="center"/>
              <w:rPr>
                <w:rFonts w:cs="Arial"/>
                <w:color w:val="000000"/>
                <w:kern w:val="0"/>
                <w:sz w:val="22"/>
              </w:rPr>
            </w:pPr>
            <w:r>
              <w:rPr>
                <w:rFonts w:cs="Arial"/>
                <w:color w:val="000000"/>
                <w:kern w:val="0"/>
                <w:sz w:val="22"/>
              </w:rPr>
              <w:t>Os(Ir-Ru)S</w:t>
            </w:r>
            <w:r>
              <w:rPr>
                <w:rFonts w:cs="Arial"/>
                <w:color w:val="000000"/>
                <w:kern w:val="0"/>
                <w:sz w:val="22"/>
                <w:vertAlign w:val="subscript"/>
              </w:rPr>
              <w:t>2</w:t>
            </w:r>
          </w:p>
        </w:tc>
        <w:tc>
          <w:tcPr>
            <w:tcW w:w="870" w:type="pct"/>
            <w:vMerge w:val="restart"/>
            <w:tcBorders>
              <w:top w:val="single" w:color="BEBEBE" w:themeColor="background1" w:themeShade="BF" w:sz="4" w:space="0"/>
            </w:tcBorders>
            <w:noWrap/>
            <w:vAlign w:val="center"/>
          </w:tcPr>
          <w:p>
            <w:pPr>
              <w:spacing w:line="240" w:lineRule="auto"/>
              <w:ind w:firstLine="0" w:firstLineChars="0"/>
              <w:jc w:val="center"/>
              <w:rPr>
                <w:rFonts w:cs="Arial"/>
                <w:color w:val="000000"/>
                <w:kern w:val="0"/>
                <w:sz w:val="22"/>
              </w:rPr>
            </w:pPr>
            <w:r>
              <w:rPr>
                <w:rFonts w:cs="Arial"/>
                <w:color w:val="000000"/>
                <w:kern w:val="0"/>
                <w:sz w:val="22"/>
              </w:rPr>
              <w:t>CGSS</w:t>
            </w:r>
          </w:p>
        </w:tc>
        <w:tc>
          <w:tcPr>
            <w:tcW w:w="1519" w:type="pct"/>
            <w:gridSpan w:val="2"/>
            <w:tcBorders>
              <w:top w:val="single" w:color="BEBEBE" w:themeColor="background1" w:themeShade="BF" w:sz="4" w:space="0"/>
              <w:bottom w:val="single" w:color="BEBEBE" w:themeColor="background1" w:themeShade="BF" w:sz="4" w:space="0"/>
            </w:tcBorders>
          </w:tcPr>
          <w:p>
            <w:pPr>
              <w:widowControl/>
              <w:spacing w:line="240" w:lineRule="auto"/>
              <w:ind w:firstLine="0" w:firstLineChars="0"/>
              <w:jc w:val="center"/>
              <w:rPr>
                <w:rFonts w:cs="Arial"/>
                <w:color w:val="000000"/>
                <w:kern w:val="0"/>
                <w:sz w:val="22"/>
              </w:rPr>
            </w:pPr>
            <w:r>
              <w:rPr>
                <w:rFonts w:eastAsia="等线" w:cs="Arial"/>
                <w:color w:val="000000"/>
                <w:kern w:val="0"/>
                <w:sz w:val="22"/>
              </w:rPr>
              <w:t>Pd-semimetal minerals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vMerge w:val="continue"/>
            <w:tcBorders>
              <w:top w:val="single" w:color="BEBEBE" w:themeColor="background1" w:themeShade="BF" w:sz="4" w:space="0"/>
              <w:bottom w:val="single" w:color="auto" w:sz="12" w:space="0"/>
            </w:tcBorders>
          </w:tcPr>
          <w:p>
            <w:pPr>
              <w:widowControl/>
              <w:spacing w:line="240" w:lineRule="auto"/>
              <w:ind w:firstLine="0" w:firstLineChars="0"/>
              <w:jc w:val="center"/>
              <w:rPr>
                <w:rFonts w:cs="Arial"/>
                <w:color w:val="000000"/>
                <w:kern w:val="0"/>
                <w:sz w:val="22"/>
              </w:rPr>
            </w:pPr>
          </w:p>
        </w:tc>
        <w:tc>
          <w:tcPr>
            <w:tcW w:w="870" w:type="pct"/>
            <w:vMerge w:val="continue"/>
            <w:tcBorders>
              <w:top w:val="single" w:color="BEBEBE" w:themeColor="background1" w:themeShade="BF" w:sz="4" w:space="0"/>
              <w:bottom w:val="single" w:color="auto" w:sz="12" w:space="0"/>
            </w:tcBorders>
            <w:noWrap/>
          </w:tcPr>
          <w:p>
            <w:pPr>
              <w:widowControl/>
              <w:spacing w:line="240" w:lineRule="auto"/>
              <w:ind w:firstLine="0" w:firstLineChars="0"/>
              <w:jc w:val="center"/>
              <w:rPr>
                <w:rFonts w:cs="Arial"/>
                <w:color w:val="000000"/>
                <w:kern w:val="0"/>
                <w:sz w:val="22"/>
              </w:rPr>
            </w:pPr>
          </w:p>
        </w:tc>
        <w:tc>
          <w:tcPr>
            <w:tcW w:w="870" w:type="pct"/>
            <w:vMerge w:val="continue"/>
            <w:tcBorders>
              <w:top w:val="single" w:color="BEBEBE" w:themeColor="background1" w:themeShade="BF" w:sz="4" w:space="0"/>
              <w:bottom w:val="single" w:color="auto" w:sz="12" w:space="0"/>
            </w:tcBorders>
            <w:noWrap/>
          </w:tcPr>
          <w:p>
            <w:pPr>
              <w:widowControl/>
              <w:spacing w:line="240" w:lineRule="auto"/>
              <w:ind w:firstLine="0" w:firstLineChars="0"/>
              <w:jc w:val="center"/>
              <w:rPr>
                <w:rFonts w:cs="Arial"/>
                <w:color w:val="000000"/>
                <w:kern w:val="0"/>
                <w:sz w:val="22"/>
              </w:rPr>
            </w:pPr>
          </w:p>
        </w:tc>
        <w:tc>
          <w:tcPr>
            <w:tcW w:w="870" w:type="pct"/>
            <w:vMerge w:val="continue"/>
            <w:tcBorders>
              <w:top w:val="single" w:color="BEBEBE" w:themeColor="background1" w:themeShade="BF" w:sz="4" w:space="0"/>
              <w:bottom w:val="single" w:color="auto" w:sz="12" w:space="0"/>
            </w:tcBorders>
            <w:noWrap/>
          </w:tcPr>
          <w:p>
            <w:pPr>
              <w:widowControl/>
              <w:spacing w:line="240" w:lineRule="auto"/>
              <w:ind w:firstLine="0" w:firstLineChars="0"/>
              <w:jc w:val="center"/>
              <w:rPr>
                <w:rFonts w:cs="Arial"/>
                <w:color w:val="000000"/>
                <w:kern w:val="0"/>
                <w:sz w:val="22"/>
              </w:rPr>
            </w:pPr>
          </w:p>
        </w:tc>
        <w:tc>
          <w:tcPr>
            <w:tcW w:w="870" w:type="pct"/>
            <w:tcBorders>
              <w:top w:val="single" w:color="BEBEBE" w:themeColor="background1" w:themeShade="BF" w:sz="4" w:space="0"/>
              <w:bottom w:val="single" w:color="auto" w:sz="12" w:space="0"/>
            </w:tcBorders>
          </w:tcPr>
          <w:p>
            <w:pPr>
              <w:widowControl/>
              <w:spacing w:line="240" w:lineRule="auto"/>
              <w:ind w:firstLine="0" w:firstLineChars="0"/>
              <w:jc w:val="center"/>
              <w:rPr>
                <w:rFonts w:cs="Arial"/>
                <w:color w:val="000000"/>
                <w:kern w:val="0"/>
                <w:sz w:val="22"/>
              </w:rPr>
            </w:pPr>
            <w:r>
              <w:rPr>
                <w:rFonts w:hint="eastAsia" w:cs="Arial"/>
                <w:color w:val="000000"/>
                <w:kern w:val="0"/>
                <w:sz w:val="22"/>
              </w:rPr>
              <w:t>PdBi</w:t>
            </w:r>
            <w:r>
              <w:rPr>
                <w:rFonts w:cs="Arial"/>
                <w:color w:val="000000"/>
                <w:kern w:val="0"/>
                <w:sz w:val="22"/>
              </w:rPr>
              <w:t>Te</w:t>
            </w:r>
          </w:p>
        </w:tc>
        <w:tc>
          <w:tcPr>
            <w:tcW w:w="649" w:type="pct"/>
            <w:tcBorders>
              <w:top w:val="single" w:color="BEBEBE" w:themeColor="background1" w:themeShade="BF" w:sz="4" w:space="0"/>
              <w:bottom w:val="single" w:color="auto" w:sz="12" w:space="0"/>
            </w:tcBorders>
            <w:noWrap/>
          </w:tcPr>
          <w:p>
            <w:pPr>
              <w:widowControl/>
              <w:spacing w:line="240" w:lineRule="auto"/>
              <w:ind w:firstLine="0" w:firstLineChars="0"/>
              <w:jc w:val="center"/>
              <w:rPr>
                <w:rFonts w:cs="Arial"/>
                <w:color w:val="000000"/>
                <w:kern w:val="0"/>
                <w:sz w:val="22"/>
              </w:rPr>
            </w:pPr>
            <w:r>
              <w:rPr>
                <w:rFonts w:cs="Arial"/>
                <w:color w:val="000000"/>
                <w:kern w:val="0"/>
                <w:sz w:val="22"/>
              </w:rPr>
              <w:t>PdTe</w:t>
            </w:r>
            <w:r>
              <w:rPr>
                <w:rFonts w:cs="Arial"/>
                <w:color w:val="000000"/>
                <w:kern w:val="0"/>
                <w:sz w:val="22"/>
                <w:vertAlign w:val="subscript"/>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tcBorders>
              <w:top w:val="single" w:color="auto" w:sz="12" w:space="0"/>
            </w:tcBorders>
            <w:noWrap/>
          </w:tcPr>
          <w:p>
            <w:pPr>
              <w:widowControl/>
              <w:spacing w:line="240" w:lineRule="auto"/>
              <w:ind w:firstLine="0" w:firstLineChars="0"/>
              <w:jc w:val="center"/>
              <w:rPr>
                <w:rFonts w:cs="Arial"/>
                <w:color w:val="000000"/>
                <w:kern w:val="0"/>
                <w:sz w:val="22"/>
              </w:rPr>
            </w:pPr>
            <w:r>
              <w:rPr>
                <w:rFonts w:cs="Arial"/>
                <w:color w:val="000000"/>
                <w:kern w:val="0"/>
                <w:sz w:val="22"/>
              </w:rPr>
              <w:t>Po</w:t>
            </w:r>
          </w:p>
        </w:tc>
        <w:tc>
          <w:tcPr>
            <w:tcW w:w="870" w:type="pct"/>
            <w:tcBorders>
              <w:top w:val="single" w:color="auto" w:sz="12"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51</w:t>
            </w:r>
          </w:p>
        </w:tc>
        <w:tc>
          <w:tcPr>
            <w:tcW w:w="870" w:type="pct"/>
            <w:tcBorders>
              <w:top w:val="single" w:color="auto" w:sz="12" w:space="0"/>
            </w:tcBorders>
            <w:noWrap/>
            <w:vAlign w:val="center"/>
          </w:tcPr>
          <w:p>
            <w:pPr>
              <w:widowControl/>
              <w:spacing w:line="240" w:lineRule="auto"/>
              <w:ind w:firstLine="0" w:firstLineChars="0"/>
              <w:jc w:val="center"/>
              <w:rPr>
                <w:rFonts w:cs="Arial"/>
                <w:color w:val="000000"/>
                <w:kern w:val="0"/>
                <w:sz w:val="22"/>
              </w:rPr>
            </w:pPr>
          </w:p>
        </w:tc>
        <w:tc>
          <w:tcPr>
            <w:tcW w:w="870" w:type="pct"/>
            <w:tcBorders>
              <w:top w:val="single" w:color="auto" w:sz="12"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21</w:t>
            </w:r>
          </w:p>
        </w:tc>
        <w:tc>
          <w:tcPr>
            <w:tcW w:w="870" w:type="pct"/>
            <w:tcBorders>
              <w:top w:val="single" w:color="auto" w:sz="12" w:space="0"/>
            </w:tcBorders>
            <w:vAlign w:val="center"/>
          </w:tcPr>
          <w:p>
            <w:pPr>
              <w:widowControl/>
              <w:spacing w:line="240" w:lineRule="auto"/>
              <w:ind w:firstLine="0" w:firstLineChars="0"/>
              <w:jc w:val="center"/>
              <w:rPr>
                <w:rFonts w:cs="Arial"/>
                <w:color w:val="000000"/>
                <w:kern w:val="0"/>
                <w:sz w:val="22"/>
              </w:rPr>
            </w:pPr>
          </w:p>
        </w:tc>
        <w:tc>
          <w:tcPr>
            <w:tcW w:w="649" w:type="pct"/>
            <w:tcBorders>
              <w:top w:val="single" w:color="auto" w:sz="12"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noWrap/>
          </w:tcPr>
          <w:p>
            <w:pPr>
              <w:widowControl/>
              <w:spacing w:line="240" w:lineRule="auto"/>
              <w:ind w:firstLine="0" w:firstLineChars="0"/>
              <w:jc w:val="center"/>
              <w:rPr>
                <w:rFonts w:cs="Arial"/>
                <w:color w:val="000000"/>
                <w:kern w:val="0"/>
                <w:sz w:val="22"/>
              </w:rPr>
            </w:pPr>
            <w:r>
              <w:rPr>
                <w:rFonts w:cs="Arial"/>
                <w:color w:val="000000"/>
                <w:kern w:val="0"/>
                <w:sz w:val="22"/>
              </w:rPr>
              <w:t>Pn</w:t>
            </w: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16</w:t>
            </w: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1</w:t>
            </w: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2</w:t>
            </w:r>
          </w:p>
        </w:tc>
        <w:tc>
          <w:tcPr>
            <w:tcW w:w="870" w:type="pct"/>
            <w:vAlign w:val="center"/>
          </w:tcPr>
          <w:p>
            <w:pPr>
              <w:widowControl/>
              <w:spacing w:line="240" w:lineRule="auto"/>
              <w:ind w:firstLine="0" w:firstLineChars="0"/>
              <w:jc w:val="center"/>
              <w:rPr>
                <w:rFonts w:ascii="Times New Roman" w:hAnsi="Times New Roman" w:cs="Times New Roman" w:eastAsiaTheme="minorEastAsia"/>
                <w:kern w:val="0"/>
                <w:sz w:val="20"/>
                <w:szCs w:val="20"/>
              </w:rPr>
            </w:pPr>
            <w:r>
              <w:rPr>
                <w:rFonts w:eastAsia="等线" w:cs="Arial"/>
                <w:color w:val="000000"/>
                <w:sz w:val="22"/>
              </w:rPr>
              <w:t>1</w:t>
            </w:r>
          </w:p>
        </w:tc>
        <w:tc>
          <w:tcPr>
            <w:tcW w:w="649" w:type="pct"/>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noWrap/>
          </w:tcPr>
          <w:p>
            <w:pPr>
              <w:widowControl/>
              <w:spacing w:line="240" w:lineRule="auto"/>
              <w:ind w:firstLine="0" w:firstLineChars="0"/>
              <w:jc w:val="center"/>
              <w:rPr>
                <w:rFonts w:cs="Arial"/>
                <w:color w:val="000000"/>
                <w:kern w:val="0"/>
                <w:sz w:val="22"/>
              </w:rPr>
            </w:pPr>
            <w:r>
              <w:rPr>
                <w:rFonts w:cs="Arial"/>
                <w:color w:val="000000"/>
                <w:kern w:val="0"/>
                <w:sz w:val="22"/>
              </w:rPr>
              <w:t>Ccp</w:t>
            </w: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2</w:t>
            </w:r>
          </w:p>
        </w:tc>
        <w:tc>
          <w:tcPr>
            <w:tcW w:w="870" w:type="pct"/>
            <w:noWrap/>
            <w:vAlign w:val="center"/>
          </w:tcPr>
          <w:p>
            <w:pPr>
              <w:widowControl/>
              <w:spacing w:line="240" w:lineRule="auto"/>
              <w:ind w:firstLine="0" w:firstLineChars="0"/>
              <w:jc w:val="center"/>
              <w:rPr>
                <w:rFonts w:cs="Arial"/>
                <w:color w:val="000000"/>
                <w:kern w:val="0"/>
                <w:sz w:val="22"/>
              </w:rPr>
            </w:pP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6</w:t>
            </w:r>
          </w:p>
        </w:tc>
        <w:tc>
          <w:tcPr>
            <w:tcW w:w="870" w:type="pct"/>
            <w:vAlign w:val="center"/>
          </w:tcPr>
          <w:p>
            <w:pPr>
              <w:widowControl/>
              <w:spacing w:line="240" w:lineRule="auto"/>
              <w:ind w:firstLine="0" w:firstLineChars="0"/>
              <w:jc w:val="center"/>
              <w:rPr>
                <w:rFonts w:cs="Arial"/>
                <w:color w:val="000000"/>
                <w:kern w:val="0"/>
                <w:sz w:val="22"/>
              </w:rPr>
            </w:pPr>
          </w:p>
        </w:tc>
        <w:tc>
          <w:tcPr>
            <w:tcW w:w="649"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noWrap/>
          </w:tcPr>
          <w:p>
            <w:pPr>
              <w:widowControl/>
              <w:spacing w:line="240" w:lineRule="auto"/>
              <w:ind w:firstLine="0" w:firstLineChars="0"/>
              <w:jc w:val="center"/>
              <w:rPr>
                <w:rFonts w:cs="Arial"/>
                <w:color w:val="000000"/>
                <w:kern w:val="0"/>
                <w:sz w:val="22"/>
              </w:rPr>
            </w:pPr>
            <w:r>
              <w:rPr>
                <w:rFonts w:cs="Arial"/>
                <w:color w:val="000000"/>
                <w:kern w:val="0"/>
                <w:sz w:val="22"/>
              </w:rPr>
              <w:t>CGSS</w:t>
            </w: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25</w:t>
            </w:r>
          </w:p>
        </w:tc>
        <w:tc>
          <w:tcPr>
            <w:tcW w:w="870" w:type="pct"/>
            <w:noWrap/>
            <w:vAlign w:val="center"/>
          </w:tcPr>
          <w:p>
            <w:pPr>
              <w:widowControl/>
              <w:spacing w:line="240" w:lineRule="auto"/>
              <w:ind w:firstLine="0" w:firstLineChars="0"/>
              <w:jc w:val="center"/>
              <w:rPr>
                <w:rFonts w:cs="Arial"/>
                <w:color w:val="000000"/>
                <w:kern w:val="0"/>
                <w:sz w:val="22"/>
              </w:rPr>
            </w:pPr>
          </w:p>
        </w:tc>
        <w:tc>
          <w:tcPr>
            <w:tcW w:w="870" w:type="pct"/>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870" w:type="pct"/>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649" w:type="pct"/>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noWrap/>
          </w:tcPr>
          <w:p>
            <w:pPr>
              <w:widowControl/>
              <w:spacing w:line="240" w:lineRule="auto"/>
              <w:ind w:firstLine="0" w:firstLineChars="0"/>
              <w:jc w:val="center"/>
              <w:rPr>
                <w:rFonts w:cs="Arial"/>
                <w:color w:val="000000"/>
                <w:kern w:val="0"/>
                <w:sz w:val="22"/>
              </w:rPr>
            </w:pPr>
            <w:r>
              <w:rPr>
                <w:rFonts w:cs="Arial"/>
                <w:color w:val="000000"/>
                <w:kern w:val="0"/>
                <w:sz w:val="22"/>
              </w:rPr>
              <w:t>Ccp-Ccp</w:t>
            </w:r>
          </w:p>
        </w:tc>
        <w:tc>
          <w:tcPr>
            <w:tcW w:w="870" w:type="pct"/>
            <w:noWrap/>
            <w:vAlign w:val="center"/>
          </w:tcPr>
          <w:p>
            <w:pPr>
              <w:widowControl/>
              <w:spacing w:line="240" w:lineRule="auto"/>
              <w:ind w:firstLine="0" w:firstLineChars="0"/>
              <w:jc w:val="center"/>
              <w:rPr>
                <w:rFonts w:cs="Arial"/>
                <w:color w:val="000000"/>
                <w:kern w:val="0"/>
                <w:sz w:val="22"/>
              </w:rPr>
            </w:pPr>
          </w:p>
        </w:tc>
        <w:tc>
          <w:tcPr>
            <w:tcW w:w="870" w:type="pct"/>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1</w:t>
            </w:r>
          </w:p>
        </w:tc>
        <w:tc>
          <w:tcPr>
            <w:tcW w:w="870" w:type="pct"/>
            <w:vAlign w:val="center"/>
          </w:tcPr>
          <w:p>
            <w:pPr>
              <w:widowControl/>
              <w:spacing w:line="240" w:lineRule="auto"/>
              <w:ind w:firstLine="0" w:firstLineChars="0"/>
              <w:jc w:val="center"/>
              <w:rPr>
                <w:rFonts w:cs="Arial"/>
                <w:color w:val="000000"/>
                <w:kern w:val="0"/>
                <w:sz w:val="22"/>
              </w:rPr>
            </w:pPr>
          </w:p>
        </w:tc>
        <w:tc>
          <w:tcPr>
            <w:tcW w:w="649" w:type="pct"/>
            <w:noWrap/>
            <w:vAlign w:val="center"/>
          </w:tcPr>
          <w:p>
            <w:pPr>
              <w:widowControl/>
              <w:spacing w:line="240" w:lineRule="auto"/>
              <w:ind w:firstLine="0" w:firstLineChars="0"/>
              <w:jc w:val="center"/>
              <w:rPr>
                <w:rFonts w:cs="Arial"/>
                <w:color w:val="000000"/>
                <w:kern w:val="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noWrap/>
          </w:tcPr>
          <w:p>
            <w:pPr>
              <w:widowControl/>
              <w:spacing w:line="240" w:lineRule="auto"/>
              <w:ind w:firstLine="0" w:firstLineChars="0"/>
              <w:jc w:val="center"/>
              <w:rPr>
                <w:rFonts w:cs="Arial"/>
                <w:color w:val="000000"/>
                <w:kern w:val="0"/>
                <w:sz w:val="22"/>
              </w:rPr>
            </w:pPr>
            <w:r>
              <w:rPr>
                <w:rFonts w:cs="Arial"/>
                <w:color w:val="000000"/>
                <w:kern w:val="0"/>
                <w:sz w:val="22"/>
              </w:rPr>
              <w:t>Po-Pn</w:t>
            </w: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3</w:t>
            </w:r>
          </w:p>
        </w:tc>
        <w:tc>
          <w:tcPr>
            <w:tcW w:w="870" w:type="pct"/>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870" w:type="pct"/>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2</w:t>
            </w:r>
          </w:p>
        </w:tc>
        <w:tc>
          <w:tcPr>
            <w:tcW w:w="870" w:type="pct"/>
            <w:vAlign w:val="center"/>
          </w:tcPr>
          <w:p>
            <w:pPr>
              <w:widowControl/>
              <w:spacing w:line="240" w:lineRule="auto"/>
              <w:ind w:firstLine="0" w:firstLineChars="0"/>
              <w:jc w:val="center"/>
              <w:rPr>
                <w:rFonts w:cs="Arial"/>
                <w:color w:val="000000"/>
                <w:kern w:val="0"/>
                <w:sz w:val="22"/>
              </w:rPr>
            </w:pPr>
          </w:p>
        </w:tc>
        <w:tc>
          <w:tcPr>
            <w:tcW w:w="649" w:type="pct"/>
            <w:noWrap/>
            <w:vAlign w:val="center"/>
          </w:tcPr>
          <w:p>
            <w:pPr>
              <w:widowControl/>
              <w:spacing w:line="240" w:lineRule="auto"/>
              <w:ind w:firstLine="0" w:firstLineChars="0"/>
              <w:jc w:val="center"/>
              <w:rPr>
                <w:rFonts w:cs="Arial"/>
                <w:color w:val="000000"/>
                <w:kern w:val="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tcBorders>
              <w:bottom w:val="single" w:color="auto" w:sz="4" w:space="0"/>
            </w:tcBorders>
            <w:noWrap/>
          </w:tcPr>
          <w:p>
            <w:pPr>
              <w:widowControl/>
              <w:spacing w:line="240" w:lineRule="auto"/>
              <w:ind w:firstLine="0" w:firstLineChars="0"/>
              <w:jc w:val="center"/>
              <w:rPr>
                <w:rFonts w:cs="Arial"/>
                <w:color w:val="000000"/>
                <w:kern w:val="0"/>
                <w:sz w:val="22"/>
              </w:rPr>
            </w:pPr>
            <w:r>
              <w:rPr>
                <w:rFonts w:cs="Arial"/>
                <w:color w:val="000000"/>
                <w:kern w:val="0"/>
                <w:sz w:val="22"/>
              </w:rPr>
              <w:t>Po-Mag</w:t>
            </w:r>
          </w:p>
        </w:tc>
        <w:tc>
          <w:tcPr>
            <w:tcW w:w="870" w:type="pct"/>
            <w:tcBorders>
              <w:bottom w:val="single" w:color="auto" w:sz="4"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1</w:t>
            </w:r>
          </w:p>
        </w:tc>
        <w:tc>
          <w:tcPr>
            <w:tcW w:w="870" w:type="pct"/>
            <w:tcBorders>
              <w:bottom w:val="single" w:color="auto" w:sz="4" w:space="0"/>
            </w:tcBorders>
            <w:noWrap/>
            <w:vAlign w:val="center"/>
          </w:tcPr>
          <w:p>
            <w:pPr>
              <w:widowControl/>
              <w:spacing w:line="240" w:lineRule="auto"/>
              <w:ind w:firstLine="0" w:firstLineChars="0"/>
              <w:jc w:val="center"/>
              <w:rPr>
                <w:rFonts w:cs="Arial"/>
                <w:color w:val="000000"/>
                <w:kern w:val="0"/>
                <w:sz w:val="22"/>
              </w:rPr>
            </w:pPr>
          </w:p>
        </w:tc>
        <w:tc>
          <w:tcPr>
            <w:tcW w:w="870" w:type="pct"/>
            <w:tcBorders>
              <w:bottom w:val="single" w:color="auto" w:sz="4" w:space="0"/>
            </w:tcBorders>
            <w:noWrap/>
            <w:vAlign w:val="center"/>
          </w:tcPr>
          <w:p>
            <w:pPr>
              <w:widowControl/>
              <w:spacing w:line="240" w:lineRule="auto"/>
              <w:ind w:firstLine="0" w:firstLineChars="0"/>
              <w:jc w:val="center"/>
              <w:rPr>
                <w:rFonts w:cs="Arial"/>
                <w:color w:val="000000"/>
                <w:kern w:val="0"/>
                <w:sz w:val="22"/>
              </w:rPr>
            </w:pPr>
          </w:p>
        </w:tc>
        <w:tc>
          <w:tcPr>
            <w:tcW w:w="870" w:type="pct"/>
            <w:tcBorders>
              <w:bottom w:val="single" w:color="auto" w:sz="4" w:space="0"/>
            </w:tcBorders>
            <w:vAlign w:val="center"/>
          </w:tcPr>
          <w:p>
            <w:pPr>
              <w:widowControl/>
              <w:spacing w:line="240" w:lineRule="auto"/>
              <w:ind w:firstLine="0" w:firstLineChars="0"/>
              <w:jc w:val="center"/>
              <w:rPr>
                <w:rFonts w:cs="Arial"/>
                <w:color w:val="000000"/>
                <w:kern w:val="0"/>
                <w:sz w:val="22"/>
              </w:rPr>
            </w:pPr>
          </w:p>
        </w:tc>
        <w:tc>
          <w:tcPr>
            <w:tcW w:w="649" w:type="pct"/>
            <w:tcBorders>
              <w:bottom w:val="single" w:color="auto" w:sz="4" w:space="0"/>
            </w:tcBorders>
            <w:noWrap/>
            <w:vAlign w:val="center"/>
          </w:tcPr>
          <w:p>
            <w:pPr>
              <w:widowControl/>
              <w:spacing w:line="240" w:lineRule="auto"/>
              <w:ind w:firstLine="0" w:firstLineChars="0"/>
              <w:jc w:val="center"/>
              <w:rPr>
                <w:rFonts w:cs="Arial"/>
                <w:color w:val="000000"/>
                <w:kern w:val="0"/>
                <w:sz w:val="22"/>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70" w:type="pct"/>
            <w:tcBorders>
              <w:top w:val="single" w:color="auto" w:sz="4" w:space="0"/>
              <w:bottom w:val="single" w:color="auto" w:sz="12" w:space="0"/>
            </w:tcBorders>
          </w:tcPr>
          <w:p>
            <w:pPr>
              <w:widowControl/>
              <w:spacing w:line="240" w:lineRule="auto"/>
              <w:ind w:firstLine="0" w:firstLineChars="0"/>
              <w:jc w:val="center"/>
              <w:rPr>
                <w:rFonts w:cs="Arial"/>
                <w:color w:val="000000"/>
                <w:kern w:val="0"/>
                <w:sz w:val="22"/>
              </w:rPr>
            </w:pPr>
            <w:r>
              <w:rPr>
                <w:rFonts w:hint="eastAsia" w:cs="Arial"/>
                <w:color w:val="000000"/>
                <w:kern w:val="0"/>
                <w:sz w:val="22"/>
              </w:rPr>
              <w:t>T</w:t>
            </w:r>
            <w:r>
              <w:rPr>
                <w:rFonts w:cs="Arial"/>
                <w:color w:val="000000"/>
                <w:kern w:val="0"/>
                <w:sz w:val="22"/>
              </w:rPr>
              <w:t>otal</w:t>
            </w:r>
          </w:p>
        </w:tc>
        <w:tc>
          <w:tcPr>
            <w:tcW w:w="870" w:type="pct"/>
            <w:tcBorders>
              <w:top w:val="single" w:color="auto" w:sz="4" w:space="0"/>
              <w:bottom w:val="single" w:color="auto" w:sz="12"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98</w:t>
            </w:r>
          </w:p>
        </w:tc>
        <w:tc>
          <w:tcPr>
            <w:tcW w:w="870" w:type="pct"/>
            <w:tcBorders>
              <w:top w:val="single" w:color="auto" w:sz="4" w:space="0"/>
              <w:bottom w:val="single" w:color="auto" w:sz="12"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1</w:t>
            </w:r>
          </w:p>
        </w:tc>
        <w:tc>
          <w:tcPr>
            <w:tcW w:w="870" w:type="pct"/>
            <w:tcBorders>
              <w:top w:val="single" w:color="auto" w:sz="4" w:space="0"/>
              <w:bottom w:val="single" w:color="auto" w:sz="12"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32</w:t>
            </w:r>
          </w:p>
        </w:tc>
        <w:tc>
          <w:tcPr>
            <w:tcW w:w="870" w:type="pct"/>
            <w:tcBorders>
              <w:top w:val="single" w:color="auto" w:sz="4" w:space="0"/>
              <w:bottom w:val="single" w:color="auto" w:sz="12" w:space="0"/>
            </w:tcBorders>
            <w:vAlign w:val="center"/>
          </w:tcPr>
          <w:p>
            <w:pPr>
              <w:widowControl/>
              <w:spacing w:line="240" w:lineRule="auto"/>
              <w:ind w:firstLine="0" w:firstLineChars="0"/>
              <w:jc w:val="center"/>
              <w:rPr>
                <w:rFonts w:cs="Arial"/>
                <w:color w:val="000000"/>
                <w:kern w:val="0"/>
                <w:sz w:val="22"/>
              </w:rPr>
            </w:pPr>
            <w:r>
              <w:rPr>
                <w:rFonts w:eastAsia="等线" w:cs="Arial"/>
                <w:color w:val="000000"/>
                <w:sz w:val="22"/>
              </w:rPr>
              <w:t>1</w:t>
            </w:r>
          </w:p>
        </w:tc>
        <w:tc>
          <w:tcPr>
            <w:tcW w:w="649" w:type="pct"/>
            <w:tcBorders>
              <w:top w:val="single" w:color="auto" w:sz="4" w:space="0"/>
              <w:bottom w:val="single" w:color="auto" w:sz="12" w:space="0"/>
            </w:tcBorders>
            <w:noWrap/>
            <w:vAlign w:val="center"/>
          </w:tcPr>
          <w:p>
            <w:pPr>
              <w:widowControl/>
              <w:spacing w:line="240" w:lineRule="auto"/>
              <w:ind w:firstLine="0" w:firstLineChars="0"/>
              <w:jc w:val="center"/>
              <w:rPr>
                <w:rFonts w:cs="Arial"/>
                <w:color w:val="000000"/>
                <w:kern w:val="0"/>
                <w:sz w:val="22"/>
              </w:rPr>
            </w:pPr>
            <w:r>
              <w:rPr>
                <w:rFonts w:eastAsia="等线" w:cs="Arial"/>
                <w:color w:val="000000"/>
                <w:sz w:val="22"/>
              </w:rPr>
              <w:t>8</w:t>
            </w:r>
          </w:p>
        </w:tc>
      </w:tr>
    </w:tbl>
    <w:p>
      <w:pPr>
        <w:widowControl/>
        <w:adjustRightInd w:val="0"/>
        <w:snapToGrid w:val="0"/>
        <w:spacing w:line="360" w:lineRule="auto"/>
        <w:ind w:firstLine="0" w:firstLineChars="0"/>
        <w:rPr>
          <w:i/>
          <w:iCs/>
          <w:sz w:val="22"/>
          <w:szCs w:val="21"/>
        </w:rPr>
      </w:pPr>
      <w:r>
        <w:rPr>
          <w:i/>
          <w:iCs/>
          <w:sz w:val="22"/>
          <w:szCs w:val="21"/>
        </w:rPr>
        <w:t>Note: (Ir-Rh-Pt)AsS = irarsite-hollingworthite-platarsite solid solution, Os(Ru-Ir)S</w:t>
      </w:r>
      <w:r>
        <w:rPr>
          <w:i/>
          <w:iCs/>
          <w:sz w:val="22"/>
          <w:szCs w:val="21"/>
          <w:vertAlign w:val="subscript"/>
        </w:rPr>
        <w:t>2</w:t>
      </w:r>
      <w:r>
        <w:rPr>
          <w:i/>
          <w:iCs/>
          <w:sz w:val="22"/>
          <w:szCs w:val="21"/>
        </w:rPr>
        <w:t xml:space="preserve"> = </w:t>
      </w:r>
      <w:bookmarkStart w:id="31" w:name="OLE_LINK26"/>
      <w:r>
        <w:rPr>
          <w:i/>
          <w:iCs/>
          <w:sz w:val="22"/>
          <w:szCs w:val="21"/>
        </w:rPr>
        <w:t>erlichmanite</w:t>
      </w:r>
      <w:bookmarkEnd w:id="31"/>
      <w:r>
        <w:rPr>
          <w:i/>
          <w:iCs/>
          <w:sz w:val="22"/>
          <w:szCs w:val="21"/>
        </w:rPr>
        <w:t>, CGSS = cobaltite-gersdorffite solid solution, PdBiTe = michenerite, PdTe</w:t>
      </w:r>
      <w:r>
        <w:rPr>
          <w:i/>
          <w:iCs/>
          <w:sz w:val="22"/>
          <w:szCs w:val="21"/>
          <w:vertAlign w:val="subscript"/>
        </w:rPr>
        <w:t xml:space="preserve">2 </w:t>
      </w:r>
      <w:r>
        <w:rPr>
          <w:i/>
          <w:iCs/>
          <w:sz w:val="22"/>
          <w:szCs w:val="21"/>
        </w:rPr>
        <w:t xml:space="preserve">= merenskyite, </w:t>
      </w:r>
      <w:bookmarkStart w:id="32" w:name="OLE_LINK27"/>
      <w:r>
        <w:rPr>
          <w:i/>
          <w:iCs/>
          <w:sz w:val="22"/>
          <w:szCs w:val="21"/>
        </w:rPr>
        <w:t xml:space="preserve">Po = pyrrhotite, Pn = pentlandite, Ccp = chalcopyrite, Ccp-Ccp and </w:t>
      </w:r>
      <w:r>
        <w:rPr>
          <w:rFonts w:hint="eastAsia"/>
          <w:i/>
          <w:iCs/>
          <w:sz w:val="22"/>
          <w:szCs w:val="21"/>
        </w:rPr>
        <w:t>Po</w:t>
      </w:r>
      <w:r>
        <w:rPr>
          <w:i/>
          <w:iCs/>
          <w:sz w:val="22"/>
          <w:szCs w:val="21"/>
        </w:rPr>
        <w:t>-Pn = BMS grain boundaries, Po-Mag = pyrrhotite-secondary magnetite boundaries.</w:t>
      </w:r>
      <w:bookmarkEnd w:id="32"/>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b/>
          <w:bCs/>
          <w:color w:val="000000"/>
          <w:kern w:val="0"/>
          <w:sz w:val="22"/>
        </w:rPr>
      </w:pPr>
    </w:p>
    <w:p>
      <w:pPr>
        <w:widowControl/>
        <w:adjustRightInd w:val="0"/>
        <w:snapToGrid w:val="0"/>
        <w:ind w:firstLine="0" w:firstLineChars="0"/>
        <w:rPr>
          <w:rFonts w:cs="Arial"/>
          <w:color w:val="000000"/>
          <w:kern w:val="0"/>
          <w:sz w:val="22"/>
        </w:rPr>
      </w:pPr>
      <w:r>
        <w:rPr>
          <w:rFonts w:cs="Arial"/>
          <w:b/>
          <w:bCs/>
          <w:color w:val="000000"/>
          <w:kern w:val="0"/>
          <w:sz w:val="22"/>
        </w:rPr>
        <w:t>Table S5B</w:t>
      </w:r>
      <w:r>
        <w:rPr>
          <w:rFonts w:cs="Arial"/>
          <w:color w:val="000000"/>
          <w:kern w:val="0"/>
          <w:sz w:val="22"/>
        </w:rPr>
        <w:t xml:space="preserve">. Number of PtS, Pt-Pd-semimetal minerals, </w:t>
      </w:r>
      <w:r>
        <w:rPr>
          <w:rFonts w:hint="eastAsia" w:cs="Arial"/>
          <w:color w:val="000000"/>
          <w:kern w:val="0"/>
          <w:sz w:val="22"/>
        </w:rPr>
        <w:t>P</w:t>
      </w:r>
      <w:r>
        <w:rPr>
          <w:rFonts w:cs="Arial"/>
          <w:color w:val="000000"/>
          <w:kern w:val="0"/>
          <w:sz w:val="22"/>
        </w:rPr>
        <w:t>t</w:t>
      </w:r>
      <w:r>
        <w:rPr>
          <w:rFonts w:cs="Arial"/>
          <w:color w:val="000000"/>
          <w:kern w:val="0"/>
          <w:sz w:val="22"/>
          <w:vertAlign w:val="subscript"/>
        </w:rPr>
        <w:t>3</w:t>
      </w:r>
      <w:r>
        <w:rPr>
          <w:rFonts w:hint="eastAsia" w:cs="Arial"/>
          <w:color w:val="000000"/>
          <w:kern w:val="0"/>
          <w:sz w:val="22"/>
        </w:rPr>
        <w:t>Fe</w:t>
      </w:r>
      <w:r>
        <w:rPr>
          <w:rFonts w:cs="Arial"/>
          <w:color w:val="000000"/>
          <w:kern w:val="0"/>
          <w:sz w:val="22"/>
        </w:rPr>
        <w:t xml:space="preserve"> and Au-Ag minerals found by SEM and their host minerals in the Noril’sk massive ores.</w:t>
      </w:r>
    </w:p>
    <w:tbl>
      <w:tblPr>
        <w:tblStyle w:val="10"/>
        <w:tblW w:w="4994" w:type="pct"/>
        <w:tblInd w:w="0" w:type="dxa"/>
        <w:tblLayout w:type="fixed"/>
        <w:tblCellMar>
          <w:top w:w="0" w:type="dxa"/>
          <w:left w:w="108" w:type="dxa"/>
          <w:bottom w:w="0" w:type="dxa"/>
          <w:right w:w="108" w:type="dxa"/>
        </w:tblCellMar>
      </w:tblPr>
      <w:tblGrid>
        <w:gridCol w:w="1295"/>
        <w:gridCol w:w="1276"/>
        <w:gridCol w:w="1170"/>
        <w:gridCol w:w="1170"/>
        <w:gridCol w:w="1250"/>
        <w:gridCol w:w="1151"/>
        <w:gridCol w:w="1151"/>
        <w:gridCol w:w="1151"/>
        <w:gridCol w:w="1160"/>
        <w:gridCol w:w="1716"/>
        <w:gridCol w:w="1366"/>
        <w:gridCol w:w="879"/>
        <w:gridCol w:w="50"/>
        <w:gridCol w:w="811"/>
      </w:tblGrid>
      <w:tr>
        <w:tblPrEx>
          <w:tblCellMar>
            <w:top w:w="0" w:type="dxa"/>
            <w:left w:w="108" w:type="dxa"/>
            <w:bottom w:w="0" w:type="dxa"/>
            <w:right w:w="108" w:type="dxa"/>
          </w:tblCellMar>
        </w:tblPrEx>
        <w:trPr>
          <w:trHeight w:val="315" w:hRule="atLeast"/>
        </w:trPr>
        <w:tc>
          <w:tcPr>
            <w:tcW w:w="415" w:type="pct"/>
            <w:vMerge w:val="restart"/>
            <w:tcBorders>
              <w:top w:val="single" w:color="auto" w:sz="12" w:space="0"/>
              <w:left w:val="nil"/>
              <w:bottom w:val="single" w:color="000000" w:sz="12"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Locations</w:t>
            </w:r>
          </w:p>
        </w:tc>
        <w:tc>
          <w:tcPr>
            <w:tcW w:w="4585" w:type="pct"/>
            <w:gridSpan w:val="13"/>
            <w:tcBorders>
              <w:top w:val="single" w:color="auto" w:sz="12" w:space="0"/>
              <w:left w:val="nil"/>
              <w:bottom w:val="single" w:color="BEBEBE" w:themeColor="background1" w:themeShade="BF" w:sz="4"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Mineral type</w:t>
            </w:r>
          </w:p>
        </w:tc>
      </w:tr>
      <w:tr>
        <w:tblPrEx>
          <w:tblCellMar>
            <w:top w:w="0" w:type="dxa"/>
            <w:left w:w="108" w:type="dxa"/>
            <w:bottom w:w="0" w:type="dxa"/>
            <w:right w:w="108" w:type="dxa"/>
          </w:tblCellMar>
        </w:tblPrEx>
        <w:trPr>
          <w:trHeight w:val="300" w:hRule="atLeast"/>
        </w:trPr>
        <w:tc>
          <w:tcPr>
            <w:tcW w:w="415" w:type="pct"/>
            <w:vMerge w:val="continue"/>
            <w:tcBorders>
              <w:top w:val="single" w:color="auto" w:sz="12" w:space="0"/>
              <w:left w:val="nil"/>
              <w:bottom w:val="single" w:color="000000" w:sz="12" w:space="0"/>
              <w:right w:val="nil"/>
            </w:tcBorders>
            <w:vAlign w:val="center"/>
          </w:tcPr>
          <w:p>
            <w:pPr>
              <w:widowControl/>
              <w:spacing w:line="240" w:lineRule="auto"/>
              <w:ind w:firstLine="0" w:firstLineChars="0"/>
              <w:jc w:val="left"/>
              <w:rPr>
                <w:rFonts w:eastAsia="等线" w:cs="Arial"/>
                <w:color w:val="000000"/>
                <w:kern w:val="0"/>
                <w:sz w:val="22"/>
              </w:rPr>
            </w:pPr>
          </w:p>
        </w:tc>
        <w:tc>
          <w:tcPr>
            <w:tcW w:w="409" w:type="pct"/>
            <w:vMerge w:val="restart"/>
            <w:tcBorders>
              <w:top w:val="single" w:color="BEBEBE" w:themeColor="background1" w:themeShade="BF" w:sz="4" w:space="0"/>
              <w:left w:val="nil"/>
              <w:bottom w:val="single" w:color="000000" w:sz="12" w:space="0"/>
              <w:right w:val="nil"/>
            </w:tcBorders>
            <w:shd w:val="clear" w:color="auto" w:fill="auto"/>
            <w:noWrap/>
            <w:vAlign w:val="center"/>
          </w:tcPr>
          <w:p>
            <w:pPr>
              <w:widowControl/>
              <w:spacing w:line="240" w:lineRule="auto"/>
              <w:ind w:firstLine="0" w:firstLineChars="0"/>
              <w:jc w:val="center"/>
              <w:rPr>
                <w:rFonts w:eastAsia="等线" w:cs="Arial"/>
                <w:kern w:val="0"/>
                <w:sz w:val="22"/>
              </w:rPr>
            </w:pPr>
            <w:r>
              <w:rPr>
                <w:rFonts w:eastAsia="等线" w:cs="Arial"/>
                <w:kern w:val="0"/>
                <w:sz w:val="22"/>
              </w:rPr>
              <w:t>PtS</w:t>
            </w:r>
          </w:p>
        </w:tc>
        <w:tc>
          <w:tcPr>
            <w:tcW w:w="2630" w:type="pct"/>
            <w:gridSpan w:val="7"/>
            <w:tcBorders>
              <w:top w:val="single" w:color="BEBEBE" w:themeColor="background1" w:themeShade="BF" w:sz="4" w:space="0"/>
              <w:left w:val="nil"/>
              <w:bottom w:val="single" w:color="BEBEBE" w:themeColor="background1" w:themeShade="BF" w:sz="4" w:space="0"/>
              <w:right w:val="nil"/>
            </w:tcBorders>
            <w:shd w:val="clear" w:color="auto" w:fill="auto"/>
            <w:vAlign w:val="center"/>
          </w:tcPr>
          <w:p>
            <w:pPr>
              <w:widowControl/>
              <w:spacing w:line="240" w:lineRule="auto"/>
              <w:ind w:firstLine="0" w:firstLineChars="0"/>
              <w:jc w:val="center"/>
              <w:rPr>
                <w:rFonts w:eastAsia="等线" w:cs="Arial"/>
                <w:kern w:val="0"/>
                <w:sz w:val="22"/>
              </w:rPr>
            </w:pPr>
            <w:r>
              <w:rPr>
                <w:rFonts w:eastAsia="等线" w:cs="Arial"/>
                <w:kern w:val="0"/>
                <w:sz w:val="22"/>
              </w:rPr>
              <w:t>Pt-semimetal minerals</w:t>
            </w:r>
          </w:p>
        </w:tc>
        <w:tc>
          <w:tcPr>
            <w:tcW w:w="988" w:type="pct"/>
            <w:gridSpan w:val="2"/>
            <w:tcBorders>
              <w:top w:val="single" w:color="BEBEBE" w:themeColor="background1" w:themeShade="BF" w:sz="4" w:space="0"/>
              <w:left w:val="nil"/>
              <w:bottom w:val="single" w:color="D8D8D8" w:themeColor="background1" w:themeShade="D9" w:sz="4" w:space="0"/>
              <w:right w:val="nil"/>
            </w:tcBorders>
            <w:shd w:val="clear" w:color="auto" w:fill="auto"/>
            <w:noWrap/>
            <w:vAlign w:val="center"/>
          </w:tcPr>
          <w:p>
            <w:pPr>
              <w:widowControl/>
              <w:spacing w:line="240" w:lineRule="auto"/>
              <w:ind w:firstLine="0" w:firstLineChars="0"/>
              <w:jc w:val="center"/>
              <w:rPr>
                <w:rFonts w:eastAsia="等线" w:cs="Arial"/>
                <w:kern w:val="0"/>
                <w:sz w:val="22"/>
              </w:rPr>
            </w:pPr>
            <w:r>
              <w:rPr>
                <w:rFonts w:eastAsia="等线" w:cs="Arial"/>
                <w:kern w:val="0"/>
                <w:sz w:val="22"/>
              </w:rPr>
              <w:t>Pd-semimetal minerals</w:t>
            </w:r>
          </w:p>
        </w:tc>
        <w:tc>
          <w:tcPr>
            <w:tcW w:w="282" w:type="pct"/>
            <w:vMerge w:val="restart"/>
            <w:tcBorders>
              <w:top w:val="single" w:color="BEBEBE" w:themeColor="background1" w:themeShade="BF" w:sz="4" w:space="0"/>
              <w:left w:val="nil"/>
              <w:bottom w:val="single" w:color="000000" w:sz="12" w:space="0"/>
              <w:right w:val="nil"/>
            </w:tcBorders>
            <w:shd w:val="clear" w:color="auto" w:fill="auto"/>
            <w:vAlign w:val="center"/>
          </w:tcPr>
          <w:p>
            <w:pPr>
              <w:widowControl/>
              <w:spacing w:line="240" w:lineRule="auto"/>
              <w:ind w:firstLine="0" w:firstLineChars="0"/>
              <w:jc w:val="center"/>
              <w:rPr>
                <w:rFonts w:eastAsia="等线" w:cs="Arial"/>
                <w:kern w:val="0"/>
                <w:sz w:val="22"/>
              </w:rPr>
            </w:pPr>
            <w:r>
              <w:rPr>
                <w:rFonts w:eastAsia="等线" w:cs="Arial"/>
                <w:kern w:val="0"/>
                <w:sz w:val="22"/>
              </w:rPr>
              <w:t>Pt</w:t>
            </w:r>
            <w:r>
              <w:rPr>
                <w:rFonts w:eastAsia="等线" w:cs="Arial"/>
                <w:kern w:val="0"/>
                <w:sz w:val="22"/>
                <w:vertAlign w:val="subscript"/>
              </w:rPr>
              <w:t>3</w:t>
            </w:r>
            <w:r>
              <w:rPr>
                <w:rFonts w:eastAsia="等线" w:cs="Arial"/>
                <w:kern w:val="0"/>
                <w:sz w:val="22"/>
              </w:rPr>
              <w:t>Fe</w:t>
            </w:r>
          </w:p>
        </w:tc>
        <w:tc>
          <w:tcPr>
            <w:tcW w:w="276" w:type="pct"/>
            <w:gridSpan w:val="2"/>
            <w:vMerge w:val="restart"/>
            <w:tcBorders>
              <w:top w:val="single" w:color="BEBEBE" w:themeColor="background1" w:themeShade="BF" w:sz="4" w:space="0"/>
              <w:left w:val="nil"/>
              <w:bottom w:val="single" w:color="000000" w:sz="12" w:space="0"/>
              <w:right w:val="nil"/>
            </w:tcBorders>
            <w:shd w:val="clear" w:color="auto" w:fill="auto"/>
            <w:noWrap/>
            <w:vAlign w:val="center"/>
          </w:tcPr>
          <w:p>
            <w:pPr>
              <w:widowControl/>
              <w:spacing w:line="240" w:lineRule="auto"/>
              <w:ind w:firstLine="0" w:firstLineChars="0"/>
              <w:jc w:val="center"/>
              <w:rPr>
                <w:rFonts w:eastAsia="等线" w:cs="Arial"/>
                <w:kern w:val="0"/>
                <w:sz w:val="22"/>
              </w:rPr>
            </w:pPr>
            <w:r>
              <w:rPr>
                <w:rFonts w:eastAsia="等线" w:cs="Arial"/>
                <w:kern w:val="0"/>
                <w:sz w:val="22"/>
              </w:rPr>
              <w:t>Au-Ag</w:t>
            </w:r>
          </w:p>
        </w:tc>
      </w:tr>
      <w:tr>
        <w:tblPrEx>
          <w:tblCellMar>
            <w:top w:w="0" w:type="dxa"/>
            <w:left w:w="108" w:type="dxa"/>
            <w:bottom w:w="0" w:type="dxa"/>
            <w:right w:w="108" w:type="dxa"/>
          </w:tblCellMar>
        </w:tblPrEx>
        <w:trPr>
          <w:trHeight w:val="405" w:hRule="atLeast"/>
        </w:trPr>
        <w:tc>
          <w:tcPr>
            <w:tcW w:w="415" w:type="pct"/>
            <w:vMerge w:val="continue"/>
            <w:tcBorders>
              <w:top w:val="single" w:color="auto" w:sz="12" w:space="0"/>
              <w:left w:val="nil"/>
              <w:bottom w:val="single" w:color="000000" w:sz="12" w:space="0"/>
              <w:right w:val="nil"/>
            </w:tcBorders>
            <w:vAlign w:val="center"/>
          </w:tcPr>
          <w:p>
            <w:pPr>
              <w:widowControl/>
              <w:spacing w:line="240" w:lineRule="auto"/>
              <w:ind w:firstLine="0" w:firstLineChars="0"/>
              <w:jc w:val="left"/>
              <w:rPr>
                <w:rFonts w:eastAsia="等线" w:cs="Arial"/>
                <w:color w:val="000000"/>
                <w:kern w:val="0"/>
                <w:sz w:val="22"/>
              </w:rPr>
            </w:pPr>
          </w:p>
        </w:tc>
        <w:tc>
          <w:tcPr>
            <w:tcW w:w="409" w:type="pct"/>
            <w:vMerge w:val="continue"/>
            <w:tcBorders>
              <w:top w:val="nil"/>
              <w:left w:val="nil"/>
              <w:bottom w:val="single" w:color="000000" w:sz="12" w:space="0"/>
              <w:right w:val="nil"/>
            </w:tcBorders>
            <w:vAlign w:val="center"/>
          </w:tcPr>
          <w:p>
            <w:pPr>
              <w:widowControl/>
              <w:spacing w:line="240" w:lineRule="auto"/>
              <w:ind w:firstLine="0" w:firstLineChars="0"/>
              <w:jc w:val="left"/>
              <w:rPr>
                <w:rFonts w:eastAsia="等线" w:cs="Arial"/>
                <w:color w:val="000000"/>
                <w:kern w:val="0"/>
                <w:sz w:val="22"/>
              </w:rPr>
            </w:pPr>
          </w:p>
        </w:tc>
        <w:tc>
          <w:tcPr>
            <w:tcW w:w="375" w:type="pct"/>
            <w:tcBorders>
              <w:top w:val="single" w:color="BEBEBE" w:themeColor="background1" w:themeShade="BF" w:sz="4" w:space="0"/>
              <w:left w:val="nil"/>
              <w:bottom w:val="single" w:color="000000" w:sz="12" w:space="0"/>
              <w:right w:val="nil"/>
            </w:tcBorders>
            <w:shd w:val="clear" w:color="auto" w:fill="auto"/>
            <w:vAlign w:val="center"/>
          </w:tcPr>
          <w:p>
            <w:pPr>
              <w:widowControl/>
              <w:spacing w:line="240" w:lineRule="auto"/>
              <w:ind w:firstLine="0" w:firstLineChars="0"/>
              <w:jc w:val="left"/>
              <w:rPr>
                <w:rFonts w:eastAsia="等线" w:cs="Arial"/>
                <w:kern w:val="0"/>
                <w:sz w:val="22"/>
              </w:rPr>
            </w:pPr>
            <w:r>
              <w:rPr>
                <w:rFonts w:eastAsia="等线" w:cs="Arial"/>
                <w:kern w:val="0"/>
                <w:sz w:val="22"/>
              </w:rPr>
              <w:t>PtAs</w:t>
            </w:r>
            <w:r>
              <w:rPr>
                <w:rFonts w:eastAsia="等线" w:cs="Arial"/>
                <w:kern w:val="0"/>
                <w:sz w:val="22"/>
                <w:vertAlign w:val="subscript"/>
              </w:rPr>
              <w:t>2</w:t>
            </w:r>
          </w:p>
        </w:tc>
        <w:tc>
          <w:tcPr>
            <w:tcW w:w="375" w:type="pct"/>
            <w:tcBorders>
              <w:top w:val="single" w:color="BEBEBE" w:themeColor="background1" w:themeShade="BF" w:sz="4" w:space="0"/>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kern w:val="0"/>
                <w:sz w:val="22"/>
              </w:rPr>
            </w:pPr>
            <w:r>
              <w:rPr>
                <w:rFonts w:eastAsia="等线" w:cs="Arial"/>
                <w:kern w:val="0"/>
                <w:sz w:val="22"/>
              </w:rPr>
              <w:t>PtSn</w:t>
            </w:r>
          </w:p>
        </w:tc>
        <w:tc>
          <w:tcPr>
            <w:tcW w:w="401" w:type="pct"/>
            <w:tcBorders>
              <w:top w:val="single" w:color="BEBEBE" w:themeColor="background1" w:themeShade="BF" w:sz="4" w:space="0"/>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kern w:val="0"/>
                <w:sz w:val="22"/>
              </w:rPr>
            </w:pPr>
            <w:r>
              <w:rPr>
                <w:rFonts w:eastAsia="等线" w:cs="Arial"/>
                <w:kern w:val="0"/>
                <w:sz w:val="22"/>
              </w:rPr>
              <w:t>(PtPd)</w:t>
            </w:r>
            <w:r>
              <w:rPr>
                <w:rFonts w:eastAsia="等线" w:cs="Arial"/>
                <w:kern w:val="0"/>
                <w:sz w:val="22"/>
                <w:vertAlign w:val="subscript"/>
              </w:rPr>
              <w:t>3</w:t>
            </w:r>
            <w:r>
              <w:rPr>
                <w:rFonts w:eastAsia="等线" w:cs="Arial"/>
                <w:kern w:val="0"/>
                <w:sz w:val="22"/>
              </w:rPr>
              <w:t>Sn</w:t>
            </w:r>
          </w:p>
        </w:tc>
        <w:tc>
          <w:tcPr>
            <w:tcW w:w="369" w:type="pct"/>
            <w:tcBorders>
              <w:top w:val="single" w:color="BEBEBE" w:themeColor="background1" w:themeShade="BF" w:sz="4" w:space="0"/>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kern w:val="0"/>
                <w:sz w:val="22"/>
              </w:rPr>
            </w:pPr>
            <w:r>
              <w:rPr>
                <w:rFonts w:eastAsia="等线" w:cs="Arial"/>
                <w:kern w:val="0"/>
                <w:sz w:val="22"/>
              </w:rPr>
              <w:t>PtSb</w:t>
            </w:r>
          </w:p>
        </w:tc>
        <w:tc>
          <w:tcPr>
            <w:tcW w:w="369" w:type="pct"/>
            <w:tcBorders>
              <w:top w:val="single" w:color="BEBEBE" w:themeColor="background1" w:themeShade="BF" w:sz="4" w:space="0"/>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kern w:val="0"/>
                <w:sz w:val="22"/>
              </w:rPr>
            </w:pPr>
            <w:r>
              <w:rPr>
                <w:rFonts w:eastAsia="等线" w:cs="Arial"/>
                <w:kern w:val="0"/>
                <w:sz w:val="22"/>
              </w:rPr>
              <w:t>PtTe</w:t>
            </w:r>
            <w:r>
              <w:rPr>
                <w:rFonts w:eastAsia="等线" w:cs="Arial"/>
                <w:kern w:val="0"/>
                <w:sz w:val="22"/>
                <w:vertAlign w:val="subscript"/>
              </w:rPr>
              <w:t>2</w:t>
            </w:r>
          </w:p>
        </w:tc>
        <w:tc>
          <w:tcPr>
            <w:tcW w:w="369" w:type="pct"/>
            <w:tcBorders>
              <w:top w:val="single" w:color="BEBEBE" w:themeColor="background1" w:themeShade="BF" w:sz="4" w:space="0"/>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kern w:val="0"/>
                <w:sz w:val="22"/>
              </w:rPr>
            </w:pPr>
            <w:r>
              <w:rPr>
                <w:rFonts w:eastAsia="等线" w:cs="Arial"/>
                <w:kern w:val="0"/>
                <w:sz w:val="22"/>
              </w:rPr>
              <w:t>PtBiTe</w:t>
            </w:r>
          </w:p>
        </w:tc>
        <w:tc>
          <w:tcPr>
            <w:tcW w:w="372" w:type="pct"/>
            <w:tcBorders>
              <w:top w:val="single" w:color="BEBEBE" w:themeColor="background1" w:themeShade="BF" w:sz="4" w:space="0"/>
              <w:left w:val="nil"/>
              <w:bottom w:val="single" w:color="auto" w:sz="12" w:space="0"/>
              <w:right w:val="nil"/>
            </w:tcBorders>
            <w:shd w:val="clear" w:color="auto" w:fill="auto"/>
            <w:noWrap/>
            <w:vAlign w:val="center"/>
          </w:tcPr>
          <w:p>
            <w:pPr>
              <w:widowControl/>
              <w:spacing w:line="240" w:lineRule="auto"/>
              <w:ind w:firstLine="0" w:firstLineChars="0"/>
              <w:jc w:val="center"/>
              <w:rPr>
                <w:rFonts w:eastAsia="等线" w:cs="Arial"/>
                <w:kern w:val="0"/>
                <w:sz w:val="22"/>
              </w:rPr>
            </w:pPr>
            <w:r>
              <w:rPr>
                <w:rFonts w:eastAsia="等线" w:cs="Arial"/>
                <w:kern w:val="0"/>
                <w:sz w:val="22"/>
              </w:rPr>
              <w:t>PtBi</w:t>
            </w:r>
            <w:r>
              <w:rPr>
                <w:rFonts w:eastAsia="等线" w:cs="Arial"/>
                <w:kern w:val="0"/>
                <w:sz w:val="22"/>
                <w:vertAlign w:val="subscript"/>
              </w:rPr>
              <w:t>2</w:t>
            </w:r>
          </w:p>
        </w:tc>
        <w:tc>
          <w:tcPr>
            <w:tcW w:w="550" w:type="pct"/>
            <w:tcBorders>
              <w:top w:val="single" w:color="BEBEBE" w:themeColor="background1" w:themeShade="BF" w:sz="4" w:space="0"/>
              <w:left w:val="nil"/>
              <w:bottom w:val="single" w:color="auto" w:sz="12" w:space="0"/>
              <w:right w:val="nil"/>
            </w:tcBorders>
            <w:shd w:val="clear" w:color="auto" w:fill="auto"/>
            <w:noWrap/>
            <w:vAlign w:val="center"/>
          </w:tcPr>
          <w:p>
            <w:pPr>
              <w:widowControl/>
              <w:spacing w:line="240" w:lineRule="auto"/>
              <w:ind w:firstLine="0" w:firstLineChars="0"/>
              <w:jc w:val="center"/>
              <w:rPr>
                <w:rFonts w:eastAsia="等线" w:cs="Arial"/>
                <w:kern w:val="0"/>
                <w:sz w:val="22"/>
              </w:rPr>
            </w:pPr>
            <w:r>
              <w:rPr>
                <w:rFonts w:eastAsia="等线" w:cs="Arial"/>
                <w:kern w:val="0"/>
                <w:sz w:val="22"/>
              </w:rPr>
              <w:t>Pd</w:t>
            </w:r>
            <w:r>
              <w:rPr>
                <w:rFonts w:eastAsia="等线" w:cs="Arial"/>
                <w:kern w:val="0"/>
                <w:sz w:val="22"/>
                <w:vertAlign w:val="subscript"/>
              </w:rPr>
              <w:t>2</w:t>
            </w:r>
            <w:r>
              <w:rPr>
                <w:rFonts w:eastAsia="等线" w:cs="Arial"/>
                <w:kern w:val="0"/>
                <w:sz w:val="22"/>
              </w:rPr>
              <w:t>Sn</w:t>
            </w:r>
          </w:p>
        </w:tc>
        <w:tc>
          <w:tcPr>
            <w:tcW w:w="438" w:type="pct"/>
            <w:tcBorders>
              <w:top w:val="single" w:color="D8D8D8" w:themeColor="background1" w:themeShade="D9" w:sz="4" w:space="0"/>
              <w:left w:val="nil"/>
              <w:bottom w:val="single" w:color="auto" w:sz="12" w:space="0"/>
              <w:right w:val="nil"/>
            </w:tcBorders>
            <w:shd w:val="clear" w:color="auto" w:fill="auto"/>
            <w:noWrap/>
            <w:vAlign w:val="center"/>
          </w:tcPr>
          <w:p>
            <w:pPr>
              <w:widowControl/>
              <w:spacing w:line="240" w:lineRule="auto"/>
              <w:ind w:firstLine="0" w:firstLineChars="0"/>
              <w:jc w:val="center"/>
              <w:rPr>
                <w:rFonts w:eastAsia="等线" w:cs="Arial"/>
                <w:kern w:val="0"/>
                <w:sz w:val="22"/>
              </w:rPr>
            </w:pPr>
            <w:r>
              <w:rPr>
                <w:rFonts w:eastAsia="等线" w:cs="Arial"/>
                <w:kern w:val="0"/>
                <w:sz w:val="22"/>
              </w:rPr>
              <w:t>PdTe</w:t>
            </w:r>
            <w:r>
              <w:rPr>
                <w:rFonts w:eastAsia="等线" w:cs="Arial"/>
                <w:kern w:val="0"/>
                <w:sz w:val="22"/>
                <w:vertAlign w:val="subscript"/>
              </w:rPr>
              <w:t>2</w:t>
            </w:r>
          </w:p>
        </w:tc>
        <w:tc>
          <w:tcPr>
            <w:tcW w:w="282" w:type="pct"/>
            <w:vMerge w:val="continue"/>
            <w:tcBorders>
              <w:top w:val="nil"/>
              <w:left w:val="nil"/>
              <w:bottom w:val="single" w:color="000000" w:sz="12" w:space="0"/>
              <w:right w:val="nil"/>
            </w:tcBorders>
            <w:vAlign w:val="center"/>
          </w:tcPr>
          <w:p>
            <w:pPr>
              <w:widowControl/>
              <w:spacing w:line="240" w:lineRule="auto"/>
              <w:ind w:firstLine="0" w:firstLineChars="0"/>
              <w:jc w:val="left"/>
              <w:rPr>
                <w:rFonts w:eastAsia="等线" w:cs="Arial"/>
                <w:color w:val="000000"/>
                <w:kern w:val="0"/>
                <w:sz w:val="22"/>
              </w:rPr>
            </w:pPr>
          </w:p>
        </w:tc>
        <w:tc>
          <w:tcPr>
            <w:tcW w:w="276" w:type="pct"/>
            <w:gridSpan w:val="2"/>
            <w:vMerge w:val="continue"/>
            <w:tcBorders>
              <w:top w:val="nil"/>
              <w:left w:val="nil"/>
              <w:bottom w:val="single" w:color="000000" w:sz="12" w:space="0"/>
              <w:right w:val="nil"/>
            </w:tcBorders>
            <w:vAlign w:val="center"/>
          </w:tcPr>
          <w:p>
            <w:pPr>
              <w:widowControl/>
              <w:spacing w:line="240" w:lineRule="auto"/>
              <w:ind w:firstLine="0" w:firstLineChars="0"/>
              <w:jc w:val="left"/>
              <w:rPr>
                <w:rFonts w:eastAsia="等线" w:cs="Arial"/>
                <w:color w:val="000000"/>
                <w:kern w:val="0"/>
                <w:sz w:val="22"/>
              </w:rPr>
            </w:pPr>
          </w:p>
        </w:tc>
      </w:tr>
      <w:tr>
        <w:tblPrEx>
          <w:tblCellMar>
            <w:top w:w="0" w:type="dxa"/>
            <w:left w:w="108" w:type="dxa"/>
            <w:bottom w:w="0" w:type="dxa"/>
            <w:right w:w="108" w:type="dxa"/>
          </w:tblCellMar>
        </w:tblPrEx>
        <w:trPr>
          <w:trHeight w:val="300" w:hRule="atLeast"/>
        </w:trPr>
        <w:tc>
          <w:tcPr>
            <w:tcW w:w="415"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Po</w:t>
            </w:r>
          </w:p>
        </w:tc>
        <w:tc>
          <w:tcPr>
            <w:tcW w:w="409"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11</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5</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401"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6</w:t>
            </w: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372"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2</w:t>
            </w:r>
          </w:p>
        </w:tc>
        <w:tc>
          <w:tcPr>
            <w:tcW w:w="550"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c>
          <w:tcPr>
            <w:tcW w:w="438"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3</w:t>
            </w: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r>
      <w:tr>
        <w:tblPrEx>
          <w:tblCellMar>
            <w:top w:w="0" w:type="dxa"/>
            <w:left w:w="108" w:type="dxa"/>
            <w:bottom w:w="0" w:type="dxa"/>
            <w:right w:w="108" w:type="dxa"/>
          </w:tblCellMar>
        </w:tblPrEx>
        <w:trPr>
          <w:trHeight w:val="285" w:hRule="atLeast"/>
        </w:trPr>
        <w:tc>
          <w:tcPr>
            <w:tcW w:w="415"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Pn</w:t>
            </w:r>
          </w:p>
        </w:tc>
        <w:tc>
          <w:tcPr>
            <w:tcW w:w="409"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7</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15</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2</w:t>
            </w:r>
          </w:p>
        </w:tc>
        <w:tc>
          <w:tcPr>
            <w:tcW w:w="401"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9</w:t>
            </w: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5</w:t>
            </w: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4</w:t>
            </w:r>
          </w:p>
        </w:tc>
        <w:tc>
          <w:tcPr>
            <w:tcW w:w="372"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c>
          <w:tcPr>
            <w:tcW w:w="550"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438"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3</w:t>
            </w:r>
          </w:p>
        </w:tc>
      </w:tr>
      <w:tr>
        <w:tblPrEx>
          <w:tblCellMar>
            <w:top w:w="0" w:type="dxa"/>
            <w:left w:w="108" w:type="dxa"/>
            <w:bottom w:w="0" w:type="dxa"/>
            <w:right w:w="108" w:type="dxa"/>
          </w:tblCellMar>
        </w:tblPrEx>
        <w:trPr>
          <w:trHeight w:val="285" w:hRule="atLeast"/>
        </w:trPr>
        <w:tc>
          <w:tcPr>
            <w:tcW w:w="415"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Ccp</w:t>
            </w:r>
          </w:p>
        </w:tc>
        <w:tc>
          <w:tcPr>
            <w:tcW w:w="409"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4</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12</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401"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2</w:t>
            </w:r>
          </w:p>
        </w:tc>
        <w:tc>
          <w:tcPr>
            <w:tcW w:w="372"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c>
          <w:tcPr>
            <w:tcW w:w="550"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438"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4</w:t>
            </w:r>
          </w:p>
        </w:tc>
      </w:tr>
      <w:tr>
        <w:tblPrEx>
          <w:tblCellMar>
            <w:top w:w="0" w:type="dxa"/>
            <w:left w:w="108" w:type="dxa"/>
            <w:bottom w:w="0" w:type="dxa"/>
            <w:right w:w="108" w:type="dxa"/>
          </w:tblCellMar>
        </w:tblPrEx>
        <w:trPr>
          <w:trHeight w:val="285" w:hRule="atLeast"/>
        </w:trPr>
        <w:tc>
          <w:tcPr>
            <w:tcW w:w="415"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Ccp-Ccp</w:t>
            </w:r>
          </w:p>
        </w:tc>
        <w:tc>
          <w:tcPr>
            <w:tcW w:w="409"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401"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72"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550"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438"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r>
      <w:tr>
        <w:tblPrEx>
          <w:tblCellMar>
            <w:top w:w="0" w:type="dxa"/>
            <w:left w:w="108" w:type="dxa"/>
            <w:bottom w:w="0" w:type="dxa"/>
            <w:right w:w="108" w:type="dxa"/>
          </w:tblCellMar>
        </w:tblPrEx>
        <w:trPr>
          <w:trHeight w:val="285" w:hRule="atLeast"/>
        </w:trPr>
        <w:tc>
          <w:tcPr>
            <w:tcW w:w="415"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Ccp-Po</w:t>
            </w:r>
          </w:p>
        </w:tc>
        <w:tc>
          <w:tcPr>
            <w:tcW w:w="409"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4</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401"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4</w:t>
            </w:r>
          </w:p>
        </w:tc>
        <w:tc>
          <w:tcPr>
            <w:tcW w:w="372"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c>
          <w:tcPr>
            <w:tcW w:w="550"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438"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r>
      <w:tr>
        <w:tblPrEx>
          <w:tblCellMar>
            <w:top w:w="0" w:type="dxa"/>
            <w:left w:w="108" w:type="dxa"/>
            <w:bottom w:w="0" w:type="dxa"/>
            <w:right w:w="108" w:type="dxa"/>
          </w:tblCellMar>
        </w:tblPrEx>
        <w:trPr>
          <w:trHeight w:val="285" w:hRule="atLeast"/>
        </w:trPr>
        <w:tc>
          <w:tcPr>
            <w:tcW w:w="415"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Ccp-Pn</w:t>
            </w:r>
          </w:p>
        </w:tc>
        <w:tc>
          <w:tcPr>
            <w:tcW w:w="409"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2</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2</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401"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72"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p>
        </w:tc>
        <w:tc>
          <w:tcPr>
            <w:tcW w:w="550"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2</w:t>
            </w:r>
          </w:p>
        </w:tc>
        <w:tc>
          <w:tcPr>
            <w:tcW w:w="438"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r>
      <w:tr>
        <w:tblPrEx>
          <w:tblCellMar>
            <w:top w:w="0" w:type="dxa"/>
            <w:left w:w="108" w:type="dxa"/>
            <w:bottom w:w="0" w:type="dxa"/>
            <w:right w:w="108" w:type="dxa"/>
          </w:tblCellMar>
        </w:tblPrEx>
        <w:trPr>
          <w:trHeight w:val="285" w:hRule="atLeast"/>
        </w:trPr>
        <w:tc>
          <w:tcPr>
            <w:tcW w:w="415"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Po-Pn</w:t>
            </w:r>
          </w:p>
        </w:tc>
        <w:tc>
          <w:tcPr>
            <w:tcW w:w="409" w:type="pct"/>
            <w:tcBorders>
              <w:top w:val="nil"/>
              <w:left w:val="nil"/>
              <w:bottom w:val="nil"/>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4</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2</w:t>
            </w:r>
          </w:p>
        </w:tc>
        <w:tc>
          <w:tcPr>
            <w:tcW w:w="375" w:type="pct"/>
            <w:tcBorders>
              <w:top w:val="nil"/>
              <w:left w:val="nil"/>
              <w:bottom w:val="nil"/>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401"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69"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372"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550"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438" w:type="pct"/>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r>
      <w:tr>
        <w:tblPrEx>
          <w:tblCellMar>
            <w:top w:w="0" w:type="dxa"/>
            <w:left w:w="108" w:type="dxa"/>
            <w:bottom w:w="0" w:type="dxa"/>
            <w:right w:w="108" w:type="dxa"/>
          </w:tblCellMar>
        </w:tblPrEx>
        <w:trPr>
          <w:trHeight w:val="300" w:hRule="atLeast"/>
        </w:trPr>
        <w:tc>
          <w:tcPr>
            <w:tcW w:w="415" w:type="pct"/>
            <w:tcBorders>
              <w:top w:val="nil"/>
              <w:left w:val="nil"/>
              <w:bottom w:val="single" w:color="auto" w:sz="8"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BMS-Mag</w:t>
            </w:r>
          </w:p>
        </w:tc>
        <w:tc>
          <w:tcPr>
            <w:tcW w:w="409" w:type="pct"/>
            <w:tcBorders>
              <w:top w:val="nil"/>
              <w:left w:val="nil"/>
              <w:bottom w:val="single" w:color="auto" w:sz="8"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75" w:type="pct"/>
            <w:tcBorders>
              <w:top w:val="nil"/>
              <w:left w:val="nil"/>
              <w:bottom w:val="single" w:color="auto" w:sz="8"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p>
        </w:tc>
        <w:tc>
          <w:tcPr>
            <w:tcW w:w="375" w:type="pct"/>
            <w:tcBorders>
              <w:top w:val="nil"/>
              <w:left w:val="nil"/>
              <w:bottom w:val="single" w:color="auto" w:sz="8"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hint="eastAsia" w:ascii="等线" w:hAnsi="等线" w:eastAsia="等线"/>
                <w:color w:val="000000"/>
                <w:sz w:val="21"/>
                <w:szCs w:val="21"/>
              </w:rPr>
              <w:t>　</w:t>
            </w:r>
          </w:p>
        </w:tc>
        <w:tc>
          <w:tcPr>
            <w:tcW w:w="401" w:type="pct"/>
            <w:tcBorders>
              <w:top w:val="nil"/>
              <w:left w:val="nil"/>
              <w:bottom w:val="single" w:color="auto" w:sz="8"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hint="eastAsia" w:ascii="等线" w:hAnsi="等线" w:eastAsia="等线"/>
                <w:color w:val="000000"/>
                <w:sz w:val="21"/>
                <w:szCs w:val="21"/>
              </w:rPr>
              <w:t>　</w:t>
            </w:r>
          </w:p>
        </w:tc>
        <w:tc>
          <w:tcPr>
            <w:tcW w:w="369" w:type="pct"/>
            <w:tcBorders>
              <w:top w:val="nil"/>
              <w:left w:val="nil"/>
              <w:bottom w:val="single" w:color="auto" w:sz="8"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hint="eastAsia" w:ascii="等线" w:hAnsi="等线" w:eastAsia="等线"/>
                <w:color w:val="000000"/>
                <w:sz w:val="21"/>
                <w:szCs w:val="21"/>
              </w:rPr>
              <w:t>　</w:t>
            </w:r>
          </w:p>
        </w:tc>
        <w:tc>
          <w:tcPr>
            <w:tcW w:w="369" w:type="pct"/>
            <w:tcBorders>
              <w:top w:val="nil"/>
              <w:left w:val="nil"/>
              <w:bottom w:val="single" w:color="auto" w:sz="8"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69" w:type="pct"/>
            <w:tcBorders>
              <w:top w:val="nil"/>
              <w:left w:val="nil"/>
              <w:bottom w:val="single" w:color="auto" w:sz="8"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sz w:val="22"/>
              </w:rPr>
              <w:t>1</w:t>
            </w:r>
          </w:p>
        </w:tc>
        <w:tc>
          <w:tcPr>
            <w:tcW w:w="372" w:type="pct"/>
            <w:tcBorders>
              <w:top w:val="nil"/>
              <w:left w:val="nil"/>
              <w:bottom w:val="single" w:color="auto" w:sz="8"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hint="eastAsia" w:ascii="等线" w:hAnsi="等线" w:eastAsia="等线"/>
                <w:color w:val="000000"/>
                <w:sz w:val="21"/>
                <w:szCs w:val="21"/>
              </w:rPr>
              <w:t>　</w:t>
            </w:r>
          </w:p>
        </w:tc>
        <w:tc>
          <w:tcPr>
            <w:tcW w:w="550" w:type="pct"/>
            <w:tcBorders>
              <w:top w:val="nil"/>
              <w:left w:val="nil"/>
              <w:bottom w:val="single" w:color="auto" w:sz="8"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hint="eastAsia" w:ascii="等线" w:hAnsi="等线" w:eastAsia="等线"/>
                <w:color w:val="000000"/>
                <w:sz w:val="21"/>
                <w:szCs w:val="21"/>
              </w:rPr>
              <w:t>　</w:t>
            </w:r>
          </w:p>
        </w:tc>
        <w:tc>
          <w:tcPr>
            <w:tcW w:w="438" w:type="pct"/>
            <w:tcBorders>
              <w:top w:val="nil"/>
              <w:left w:val="nil"/>
              <w:bottom w:val="single" w:color="auto" w:sz="8"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hint="eastAsia" w:ascii="等线" w:hAnsi="等线" w:eastAsia="等线"/>
                <w:color w:val="000000"/>
                <w:sz w:val="21"/>
                <w:szCs w:val="21"/>
              </w:rPr>
              <w:t>　</w:t>
            </w:r>
          </w:p>
        </w:tc>
        <w:tc>
          <w:tcPr>
            <w:tcW w:w="282" w:type="pct"/>
            <w:tcBorders>
              <w:top w:val="nil"/>
              <w:left w:val="nil"/>
              <w:bottom w:val="nil"/>
              <w:right w:val="nil"/>
            </w:tcBorders>
            <w:shd w:val="clear" w:color="auto" w:fill="auto"/>
            <w:vAlign w:val="center"/>
          </w:tcPr>
          <w:p>
            <w:pPr>
              <w:widowControl/>
              <w:spacing w:line="240" w:lineRule="auto"/>
              <w:ind w:firstLine="0" w:firstLineChars="0"/>
              <w:jc w:val="center"/>
              <w:rPr>
                <w:rFonts w:ascii="Times New Roman" w:hAnsi="Times New Roman" w:eastAsia="Times New Roman" w:cs="Times New Roman"/>
                <w:kern w:val="0"/>
                <w:sz w:val="20"/>
                <w:szCs w:val="20"/>
              </w:rPr>
            </w:pPr>
          </w:p>
        </w:tc>
        <w:tc>
          <w:tcPr>
            <w:tcW w:w="276" w:type="pct"/>
            <w:gridSpan w:val="2"/>
            <w:tcBorders>
              <w:top w:val="nil"/>
              <w:left w:val="nil"/>
              <w:bottom w:val="nil"/>
              <w:right w:val="nil"/>
            </w:tcBorders>
            <w:shd w:val="clear" w:color="auto" w:fill="auto"/>
            <w:noWrap/>
            <w:vAlign w:val="center"/>
          </w:tcPr>
          <w:p>
            <w:pPr>
              <w:widowControl/>
              <w:spacing w:line="240" w:lineRule="auto"/>
              <w:ind w:firstLine="0" w:firstLineChars="0"/>
              <w:jc w:val="center"/>
              <w:rPr>
                <w:rFonts w:ascii="Times New Roman" w:hAnsi="Times New Roman" w:eastAsia="Times New Roman" w:cs="Times New Roman"/>
                <w:kern w:val="0"/>
                <w:sz w:val="20"/>
                <w:szCs w:val="20"/>
              </w:rPr>
            </w:pPr>
            <w:r>
              <w:rPr>
                <w:rFonts w:hint="eastAsia" w:ascii="等线" w:hAnsi="等线" w:eastAsia="等线"/>
                <w:color w:val="000000"/>
                <w:sz w:val="21"/>
                <w:szCs w:val="21"/>
              </w:rPr>
              <w:t>　</w:t>
            </w:r>
          </w:p>
        </w:tc>
      </w:tr>
      <w:tr>
        <w:tblPrEx>
          <w:tblCellMar>
            <w:top w:w="0" w:type="dxa"/>
            <w:left w:w="108" w:type="dxa"/>
            <w:bottom w:w="0" w:type="dxa"/>
            <w:right w:w="108" w:type="dxa"/>
          </w:tblCellMar>
        </w:tblPrEx>
        <w:trPr>
          <w:trHeight w:val="300" w:hRule="atLeast"/>
        </w:trPr>
        <w:tc>
          <w:tcPr>
            <w:tcW w:w="415" w:type="pct"/>
            <w:tcBorders>
              <w:top w:val="nil"/>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Total</w:t>
            </w:r>
          </w:p>
        </w:tc>
        <w:tc>
          <w:tcPr>
            <w:tcW w:w="409" w:type="pct"/>
            <w:tcBorders>
              <w:top w:val="nil"/>
              <w:left w:val="nil"/>
              <w:bottom w:val="single" w:color="auto" w:sz="12"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30</w:t>
            </w:r>
          </w:p>
        </w:tc>
        <w:tc>
          <w:tcPr>
            <w:tcW w:w="2630" w:type="pct"/>
            <w:gridSpan w:val="7"/>
            <w:tcBorders>
              <w:top w:val="nil"/>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81</w:t>
            </w:r>
          </w:p>
        </w:tc>
        <w:tc>
          <w:tcPr>
            <w:tcW w:w="988" w:type="pct"/>
            <w:gridSpan w:val="2"/>
            <w:tcBorders>
              <w:top w:val="nil"/>
              <w:left w:val="nil"/>
              <w:bottom w:val="single" w:color="auto" w:sz="12"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6</w:t>
            </w:r>
          </w:p>
        </w:tc>
        <w:tc>
          <w:tcPr>
            <w:tcW w:w="298" w:type="pct"/>
            <w:gridSpan w:val="2"/>
            <w:tcBorders>
              <w:top w:val="single" w:color="auto" w:sz="8" w:space="0"/>
              <w:left w:val="nil"/>
              <w:bottom w:val="single" w:color="auto" w:sz="12" w:space="0"/>
              <w:right w:val="nil"/>
            </w:tcBorders>
            <w:shd w:val="clear" w:color="auto" w:fill="auto"/>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2</w:t>
            </w:r>
          </w:p>
        </w:tc>
        <w:tc>
          <w:tcPr>
            <w:tcW w:w="260" w:type="pct"/>
            <w:tcBorders>
              <w:top w:val="single" w:color="auto" w:sz="8" w:space="0"/>
              <w:left w:val="nil"/>
              <w:bottom w:val="single" w:color="auto" w:sz="12" w:space="0"/>
              <w:right w:val="nil"/>
            </w:tcBorders>
            <w:shd w:val="clear" w:color="auto" w:fill="auto"/>
            <w:noWrap/>
            <w:vAlign w:val="center"/>
          </w:tcPr>
          <w:p>
            <w:pPr>
              <w:widowControl/>
              <w:spacing w:line="240" w:lineRule="auto"/>
              <w:ind w:firstLine="0" w:firstLineChars="0"/>
              <w:jc w:val="center"/>
              <w:rPr>
                <w:rFonts w:eastAsia="等线" w:cs="Arial"/>
                <w:color w:val="000000"/>
                <w:kern w:val="0"/>
                <w:sz w:val="22"/>
              </w:rPr>
            </w:pPr>
            <w:r>
              <w:rPr>
                <w:rFonts w:eastAsia="等线" w:cs="Arial"/>
                <w:color w:val="000000"/>
                <w:kern w:val="0"/>
                <w:sz w:val="22"/>
              </w:rPr>
              <w:t>8</w:t>
            </w:r>
          </w:p>
        </w:tc>
      </w:tr>
    </w:tbl>
    <w:p>
      <w:pPr>
        <w:widowControl/>
        <w:adjustRightInd w:val="0"/>
        <w:snapToGrid w:val="0"/>
        <w:spacing w:line="360" w:lineRule="auto"/>
        <w:ind w:firstLine="0" w:firstLineChars="0"/>
        <w:rPr>
          <w:i/>
          <w:iCs/>
          <w:sz w:val="22"/>
          <w:szCs w:val="21"/>
        </w:rPr>
      </w:pPr>
      <w:r>
        <w:rPr>
          <w:i/>
          <w:iCs/>
          <w:sz w:val="22"/>
          <w:szCs w:val="21"/>
        </w:rPr>
        <w:t>Note: PtS = cooperite, PtAs</w:t>
      </w:r>
      <w:r>
        <w:rPr>
          <w:i/>
          <w:iCs/>
          <w:sz w:val="22"/>
          <w:szCs w:val="21"/>
          <w:vertAlign w:val="subscript"/>
        </w:rPr>
        <w:t>2</w:t>
      </w:r>
      <w:r>
        <w:rPr>
          <w:i/>
          <w:iCs/>
          <w:sz w:val="22"/>
          <w:szCs w:val="21"/>
        </w:rPr>
        <w:t xml:space="preserve"> = sperrylite, PtSn = niggliite, (PtPd)</w:t>
      </w:r>
      <w:r>
        <w:rPr>
          <w:i/>
          <w:iCs/>
          <w:sz w:val="22"/>
          <w:szCs w:val="21"/>
          <w:vertAlign w:val="subscript"/>
        </w:rPr>
        <w:t>3</w:t>
      </w:r>
      <w:r>
        <w:rPr>
          <w:i/>
          <w:iCs/>
          <w:sz w:val="22"/>
          <w:szCs w:val="21"/>
        </w:rPr>
        <w:t>Sn =</w:t>
      </w:r>
      <w:r>
        <w:t xml:space="preserve"> </w:t>
      </w:r>
      <w:r>
        <w:rPr>
          <w:i/>
          <w:iCs/>
          <w:sz w:val="22"/>
          <w:szCs w:val="21"/>
        </w:rPr>
        <w:t xml:space="preserve">atokite, PtSb = stumpflite, </w:t>
      </w:r>
      <w:r>
        <w:rPr>
          <w:rFonts w:eastAsia="等线" w:cs="Arial"/>
          <w:i/>
          <w:iCs/>
          <w:color w:val="000000"/>
          <w:sz w:val="22"/>
        </w:rPr>
        <w:t>PtTe</w:t>
      </w:r>
      <w:r>
        <w:rPr>
          <w:rFonts w:eastAsia="等线" w:cs="Arial"/>
          <w:i/>
          <w:iCs/>
          <w:color w:val="000000"/>
          <w:sz w:val="22"/>
          <w:vertAlign w:val="subscript"/>
        </w:rPr>
        <w:t xml:space="preserve">2 </w:t>
      </w:r>
      <w:r>
        <w:rPr>
          <w:rFonts w:eastAsia="等线" w:cs="Arial"/>
          <w:i/>
          <w:iCs/>
          <w:color w:val="000000"/>
          <w:sz w:val="22"/>
        </w:rPr>
        <w:t>= moncheite</w:t>
      </w:r>
      <w:r>
        <w:rPr>
          <w:i/>
          <w:iCs/>
          <w:sz w:val="22"/>
          <w:szCs w:val="21"/>
        </w:rPr>
        <w:t xml:space="preserve">, </w:t>
      </w:r>
      <w:r>
        <w:rPr>
          <w:rFonts w:eastAsia="等线" w:cs="Arial"/>
          <w:i/>
          <w:iCs/>
          <w:color w:val="000000"/>
          <w:sz w:val="22"/>
        </w:rPr>
        <w:t>PtBiTe = maslovite, PtBi</w:t>
      </w:r>
      <w:r>
        <w:rPr>
          <w:rFonts w:eastAsia="等线" w:cs="Arial"/>
          <w:i/>
          <w:iCs/>
          <w:color w:val="000000"/>
          <w:sz w:val="22"/>
          <w:vertAlign w:val="subscript"/>
        </w:rPr>
        <w:t>2</w:t>
      </w:r>
      <w:r>
        <w:rPr>
          <w:rFonts w:eastAsia="等线" w:cs="Arial"/>
          <w:i/>
          <w:iCs/>
          <w:color w:val="000000"/>
          <w:sz w:val="22"/>
        </w:rPr>
        <w:t xml:space="preserve"> =</w:t>
      </w:r>
      <w:r>
        <w:rPr>
          <w:i/>
          <w:iCs/>
        </w:rPr>
        <w:t xml:space="preserve"> </w:t>
      </w:r>
      <w:r>
        <w:rPr>
          <w:rFonts w:eastAsia="等线" w:cs="Arial"/>
          <w:i/>
          <w:iCs/>
          <w:color w:val="000000"/>
          <w:sz w:val="22"/>
        </w:rPr>
        <w:t>insizwaite, Pd</w:t>
      </w:r>
      <w:r>
        <w:rPr>
          <w:rFonts w:eastAsia="等线" w:cs="Arial"/>
          <w:i/>
          <w:iCs/>
          <w:color w:val="000000"/>
          <w:sz w:val="22"/>
          <w:vertAlign w:val="subscript"/>
        </w:rPr>
        <w:t>2</w:t>
      </w:r>
      <w:r>
        <w:rPr>
          <w:rFonts w:eastAsia="等线" w:cs="Arial"/>
          <w:i/>
          <w:iCs/>
          <w:color w:val="000000"/>
          <w:sz w:val="22"/>
        </w:rPr>
        <w:t>Sn = paolovite, PdTe</w:t>
      </w:r>
      <w:r>
        <w:rPr>
          <w:rFonts w:eastAsia="等线" w:cs="Arial"/>
          <w:i/>
          <w:iCs/>
          <w:color w:val="000000"/>
          <w:sz w:val="22"/>
          <w:vertAlign w:val="subscript"/>
        </w:rPr>
        <w:t>2</w:t>
      </w:r>
      <w:r>
        <w:rPr>
          <w:rFonts w:eastAsia="等线" w:cs="Arial"/>
          <w:i/>
          <w:iCs/>
          <w:color w:val="000000"/>
          <w:sz w:val="22"/>
        </w:rPr>
        <w:t xml:space="preserve"> = merenskyite, PdBiTe = michenerite, </w:t>
      </w:r>
      <w:r>
        <w:rPr>
          <w:i/>
          <w:iCs/>
          <w:sz w:val="22"/>
          <w:szCs w:val="21"/>
        </w:rPr>
        <w:t>Pt</w:t>
      </w:r>
      <w:r>
        <w:rPr>
          <w:i/>
          <w:iCs/>
          <w:sz w:val="22"/>
          <w:szCs w:val="21"/>
          <w:vertAlign w:val="subscript"/>
        </w:rPr>
        <w:t>3</w:t>
      </w:r>
      <w:r>
        <w:rPr>
          <w:i/>
          <w:iCs/>
          <w:sz w:val="22"/>
          <w:szCs w:val="21"/>
        </w:rPr>
        <w:t xml:space="preserve">Fe = isoferroplatinum, Au-Ag = electrum, Po = pyrrhotite, Pn = pentlandite, Ccp = chalcopyrite, Ccp-Ccp, Ccp-Po and </w:t>
      </w:r>
      <w:r>
        <w:rPr>
          <w:rFonts w:hint="eastAsia"/>
          <w:i/>
          <w:iCs/>
          <w:sz w:val="22"/>
          <w:szCs w:val="21"/>
        </w:rPr>
        <w:t>Po</w:t>
      </w:r>
      <w:r>
        <w:rPr>
          <w:i/>
          <w:iCs/>
          <w:sz w:val="22"/>
          <w:szCs w:val="21"/>
        </w:rPr>
        <w:t xml:space="preserve">-Pn = BMS-BMS grain boundaries, BMS-Mag = BMS-magmatic magnetite grain boundaries. </w:t>
      </w:r>
    </w:p>
    <w:p>
      <w:pPr>
        <w:widowControl/>
        <w:adjustRightInd w:val="0"/>
        <w:snapToGrid w:val="0"/>
        <w:spacing w:line="360" w:lineRule="auto"/>
        <w:ind w:firstLine="0" w:firstLineChars="0"/>
        <w:rPr>
          <w:i/>
          <w:iCs/>
          <w:sz w:val="22"/>
          <w:szCs w:val="21"/>
        </w:rPr>
      </w:pPr>
      <w:r>
        <w:rPr>
          <w:i/>
          <w:iCs/>
          <w:sz w:val="22"/>
          <w:szCs w:val="21"/>
        </w:rPr>
        <w:t>More than 75 % (based on numbers of PGM) of PtS and Pt-Pd-semimetal minerals found in pentlandite were enclosed in loop textured pentlandite (Text S1). PtS and Pt-Pd-semimetal minerals found in pyrrhotite (n = 27) are mostly anhedral (n = 18).</w:t>
      </w:r>
    </w:p>
    <w:p>
      <w:pPr>
        <w:widowControl/>
        <w:adjustRightInd w:val="0"/>
        <w:snapToGrid w:val="0"/>
        <w:ind w:firstLine="0" w:firstLineChars="0"/>
        <w:rPr>
          <w:b/>
          <w:bCs/>
        </w:rPr>
      </w:pPr>
    </w:p>
    <w:p>
      <w:pPr>
        <w:widowControl/>
        <w:adjustRightInd w:val="0"/>
        <w:snapToGrid w:val="0"/>
        <w:ind w:firstLine="0" w:firstLineChars="0"/>
        <w:sectPr>
          <w:pgSz w:w="16838" w:h="11906" w:orient="landscape"/>
          <w:pgMar w:top="720" w:right="720" w:bottom="720" w:left="720" w:header="0" w:footer="0" w:gutter="0"/>
          <w:cols w:space="425" w:num="1"/>
          <w:docGrid w:type="lines" w:linePitch="326" w:charSpace="0"/>
        </w:sectPr>
      </w:pPr>
    </w:p>
    <w:p>
      <w:pPr>
        <w:widowControl/>
        <w:adjustRightInd w:val="0"/>
        <w:snapToGrid w:val="0"/>
        <w:ind w:firstLine="0" w:firstLineChars="0"/>
        <w:rPr>
          <w:rFonts w:ascii="Times New Roman" w:hAnsi="Times New Roman"/>
          <w:b/>
          <w:kern w:val="0"/>
          <w:sz w:val="28"/>
          <w:szCs w:val="28"/>
        </w:rPr>
      </w:pPr>
      <w:r>
        <w:rPr>
          <w:rFonts w:ascii="Times New Roman" w:hAnsi="Times New Roman"/>
          <w:b/>
          <w:kern w:val="0"/>
          <w:sz w:val="28"/>
          <w:szCs w:val="28"/>
        </w:rPr>
        <w:t>References</w:t>
      </w:r>
    </w:p>
    <w:p>
      <w:pPr>
        <w:pStyle w:val="24"/>
        <w:ind w:left="480" w:hanging="480" w:hangingChars="200"/>
      </w:pPr>
      <w:r>
        <w:t xml:space="preserve">Chen L.M., Song X.Y., Danyushevsky L.V., Wang Y.S., Tian Y.L. and Xiao J.F. (2015) A laser ablation ICP-MS study of platinum-group and chalcophile elements in base metal sulfide minerals of the Jinchuan Ni–Cu sulfide deposit, NW China. </w:t>
      </w:r>
      <w:r>
        <w:rPr>
          <w:i/>
          <w:iCs/>
        </w:rPr>
        <w:t>Ore Geol. Rev.</w:t>
      </w:r>
      <w:r>
        <w:t xml:space="preserve"> </w:t>
      </w:r>
      <w:r>
        <w:rPr>
          <w:b/>
          <w:bCs/>
        </w:rPr>
        <w:t>65</w:t>
      </w:r>
      <w:r>
        <w:t xml:space="preserve">, 955-967. </w:t>
      </w:r>
    </w:p>
    <w:p>
      <w:pPr>
        <w:pStyle w:val="24"/>
        <w:ind w:left="480" w:hanging="480" w:hangingChars="200"/>
      </w:pPr>
      <w:r>
        <w:t xml:space="preserve">Chen L.M., Song X.Y., Keays R.R., Tian Y.L., Wang Y.S., Deng Y.F. and Xiao J.F. (2013) Segregation and Fractionation of Magmatic Ni-Cu-PGE Sulfides in the Western Jinchuan Intrusion, Northwestern China: Insights from Platinum-group Element Geochemistry. </w:t>
      </w:r>
      <w:r>
        <w:rPr>
          <w:i/>
          <w:iCs/>
        </w:rPr>
        <w:t>Econ. Geol.</w:t>
      </w:r>
      <w:r>
        <w:t xml:space="preserve"> </w:t>
      </w:r>
      <w:r>
        <w:rPr>
          <w:b/>
          <w:bCs/>
        </w:rPr>
        <w:t>108</w:t>
      </w:r>
      <w:r>
        <w:t xml:space="preserve">, 1793-1811. </w:t>
      </w:r>
    </w:p>
    <w:p>
      <w:pPr>
        <w:pStyle w:val="24"/>
        <w:ind w:left="480" w:hanging="480" w:hangingChars="200"/>
      </w:pPr>
      <w:r>
        <w:t xml:space="preserve">Duran C.J., Barnes S.J., Pleše P., Prašek M.K., Zientek M.L. and Pagé P. (2017) Fractional crystallization-induced variations in sulfides from the Noril’sk-Talnakh mining district (polar Siberia, Russia). </w:t>
      </w:r>
      <w:r>
        <w:rPr>
          <w:i/>
          <w:iCs/>
        </w:rPr>
        <w:t>Ore Geol. Rev.</w:t>
      </w:r>
      <w:r>
        <w:t xml:space="preserve"> </w:t>
      </w:r>
      <w:r>
        <w:rPr>
          <w:b/>
          <w:bCs/>
        </w:rPr>
        <w:t>90</w:t>
      </w:r>
      <w:r>
        <w:t xml:space="preserve">, 326-351. </w:t>
      </w:r>
    </w:p>
    <w:p>
      <w:pPr>
        <w:pStyle w:val="24"/>
        <w:ind w:left="480" w:hanging="480" w:hangingChars="200"/>
      </w:pPr>
      <w:r>
        <w:t xml:space="preserve">Fonseca R.O., Campbell I.H., O’Neill H.S.C., Fitzgerald J.D. (2008) Oxygen solubility and speciation in sulphide-rich mattes. </w:t>
      </w:r>
      <w:r>
        <w:rPr>
          <w:i/>
          <w:iCs/>
        </w:rPr>
        <w:t>Geochim. Cosmochim. Acta</w:t>
      </w:r>
      <w:r>
        <w:t xml:space="preserve"> </w:t>
      </w:r>
      <w:r>
        <w:rPr>
          <w:b/>
          <w:bCs/>
        </w:rPr>
        <w:t>72</w:t>
      </w:r>
      <w:r>
        <w:t>, 2619-2635.</w:t>
      </w:r>
    </w:p>
    <w:p>
      <w:pPr>
        <w:pStyle w:val="24"/>
        <w:ind w:left="480" w:hanging="480" w:hangingChars="200"/>
      </w:pPr>
      <w:r>
        <w:t>Li C., Barnes S.J., Makovicky E., RoseHansen J. and Makovicky M. (1996) Partitioning of nickel, copper, iridium, rhenium, platinum, and palladium between monosulfide solid solution and sulfide liquid: Effects of composition and temperature.</w:t>
      </w:r>
      <w:r>
        <w:rPr>
          <w:i/>
          <w:iCs/>
        </w:rPr>
        <w:t xml:space="preserve"> Geochim. Cosmochim. Acta</w:t>
      </w:r>
      <w:r>
        <w:t xml:space="preserve"> </w:t>
      </w:r>
      <w:r>
        <w:rPr>
          <w:b/>
          <w:bCs/>
        </w:rPr>
        <w:t>60</w:t>
      </w:r>
      <w:r>
        <w:t xml:space="preserve">, 1231-1238. </w:t>
      </w:r>
    </w:p>
    <w:p>
      <w:pPr>
        <w:pStyle w:val="24"/>
        <w:ind w:left="480" w:hanging="480" w:hangingChars="200"/>
      </w:pPr>
      <w:r>
        <w:t xml:space="preserve">Liu Y.N. and Brenan J. (2015) Partitioning of platinum-group elements (PGE) and chalcogens (Se, Te, As, Sb, Bi) between monosulfide-solid solution (MSS), intermediate solid solution (ISS) and sulfide liquid at controlled fO(2)-fS(2) conditions. </w:t>
      </w:r>
      <w:r>
        <w:rPr>
          <w:i/>
          <w:iCs/>
        </w:rPr>
        <w:t>Geochim. Cosmochim. Acta</w:t>
      </w:r>
      <w:r>
        <w:t xml:space="preserve"> </w:t>
      </w:r>
      <w:r>
        <w:rPr>
          <w:b/>
          <w:bCs/>
        </w:rPr>
        <w:t>159</w:t>
      </w:r>
      <w:r>
        <w:t xml:space="preserve">, 139-161. </w:t>
      </w:r>
    </w:p>
    <w:p>
      <w:pPr>
        <w:pStyle w:val="24"/>
        <w:ind w:left="480" w:hanging="480" w:hangingChars="200"/>
      </w:pPr>
      <w:r>
        <w:t xml:space="preserve">Mansur E.T., Barnes S.J. and Duran C.J. (2019a) Textural and compositional evidence for the formation of pentlandite via peritectic reaction: Implications for the distribution of highly siderophile elements. </w:t>
      </w:r>
      <w:r>
        <w:rPr>
          <w:i/>
          <w:iCs/>
        </w:rPr>
        <w:t>Geology</w:t>
      </w:r>
      <w:r>
        <w:t xml:space="preserve"> </w:t>
      </w:r>
      <w:r>
        <w:rPr>
          <w:b/>
          <w:bCs/>
        </w:rPr>
        <w:t>47(4)</w:t>
      </w:r>
      <w:r>
        <w:t xml:space="preserve">, 351-354. </w:t>
      </w:r>
    </w:p>
    <w:p>
      <w:pPr>
        <w:pStyle w:val="24"/>
        <w:ind w:left="480" w:hanging="480" w:hangingChars="200"/>
      </w:pPr>
      <w:r>
        <w:t xml:space="preserve">Mungall J.E. and Brenan J.M. (2014) Partitioning of platinum-group elements and Au between sulfide liquid and basalt and the origins of mantle-crust fractionation of the chalcophile elements. </w:t>
      </w:r>
      <w:r>
        <w:rPr>
          <w:i/>
          <w:iCs/>
        </w:rPr>
        <w:t>Geochim. Cosmochim. Acta</w:t>
      </w:r>
      <w:r>
        <w:t xml:space="preserve"> </w:t>
      </w:r>
      <w:r>
        <w:rPr>
          <w:b/>
          <w:bCs/>
        </w:rPr>
        <w:t>125</w:t>
      </w:r>
      <w:r>
        <w:t xml:space="preserve">, 265-289. </w:t>
      </w:r>
    </w:p>
    <w:p>
      <w:pPr>
        <w:pStyle w:val="24"/>
        <w:ind w:left="480" w:hanging="480" w:hangingChars="200"/>
      </w:pPr>
      <w:r>
        <w:t xml:space="preserve">Qi L., Gao J.F., Huang X.W., Hu J., Zhou M.F. and Zhong H. (2011) An improved digestion technique for determination of platinum group elements in geological samples. </w:t>
      </w:r>
      <w:r>
        <w:rPr>
          <w:i/>
          <w:iCs/>
        </w:rPr>
        <w:t>J. Anal. At. Spectrom.</w:t>
      </w:r>
      <w:r>
        <w:t xml:space="preserve"> </w:t>
      </w:r>
      <w:r>
        <w:rPr>
          <w:b/>
          <w:bCs/>
        </w:rPr>
        <w:t>26</w:t>
      </w:r>
      <w:r>
        <w:t xml:space="preserve">, 1900-1904. </w:t>
      </w:r>
    </w:p>
    <w:p>
      <w:pPr>
        <w:pStyle w:val="24"/>
        <w:ind w:left="480" w:hanging="480" w:hangingChars="200"/>
      </w:pPr>
      <w:r>
        <w:t xml:space="preserve">Qi L. and Zhou M.-F. (2008) Platinum-group elemental and Sr-Nd-Os isotopic geochemistry of Permian Emeishan flood basalts in Guizhou Province, SW China. </w:t>
      </w:r>
      <w:r>
        <w:rPr>
          <w:i/>
          <w:iCs/>
        </w:rPr>
        <w:t>Chem. Geol.</w:t>
      </w:r>
      <w:r>
        <w:t xml:space="preserve"> </w:t>
      </w:r>
      <w:r>
        <w:rPr>
          <w:b/>
          <w:bCs/>
        </w:rPr>
        <w:t>248</w:t>
      </w:r>
      <w:r>
        <w:t xml:space="preserve">, 83-103. </w:t>
      </w:r>
    </w:p>
    <w:p>
      <w:pPr>
        <w:pStyle w:val="24"/>
        <w:ind w:left="480" w:hanging="480" w:hangingChars="200"/>
      </w:pPr>
      <w:r>
        <w:t xml:space="preserve">Qi L., Zhou M.F. and Wang C.Y. (2004) Determination of low concentrations of platinum group elements in geological samples by ID-ICP-MS. </w:t>
      </w:r>
      <w:r>
        <w:rPr>
          <w:i/>
          <w:iCs/>
        </w:rPr>
        <w:t>J. Anal. At. Spectrom.</w:t>
      </w:r>
      <w:r>
        <w:t xml:space="preserve"> </w:t>
      </w:r>
      <w:r>
        <w:rPr>
          <w:b/>
          <w:bCs/>
        </w:rPr>
        <w:t>19</w:t>
      </w:r>
      <w:r>
        <w:t xml:space="preserve">, 1335-1339. </w:t>
      </w:r>
    </w:p>
    <w:p>
      <w:pPr>
        <w:pStyle w:val="24"/>
        <w:ind w:left="480" w:hanging="480" w:hangingChars="200"/>
      </w:pPr>
      <w:bookmarkStart w:id="33" w:name="_Hlk79523657"/>
      <w:r>
        <w:t>Toulmin</w:t>
      </w:r>
      <w:bookmarkEnd w:id="33"/>
      <w:r>
        <w:t xml:space="preserve"> P. and </w:t>
      </w:r>
      <w:bookmarkStart w:id="34" w:name="_Hlk79523667"/>
      <w:r>
        <w:t>Barton</w:t>
      </w:r>
      <w:bookmarkEnd w:id="34"/>
      <w:r>
        <w:t xml:space="preserve"> P.B. (1964) A thermodynamic study of pyrite and pyrrhotite. </w:t>
      </w:r>
      <w:r>
        <w:rPr>
          <w:i/>
          <w:iCs/>
        </w:rPr>
        <w:t>Geochim. Cosmochim. Acta</w:t>
      </w:r>
      <w:r>
        <w:t xml:space="preserve"> </w:t>
      </w:r>
      <w:r>
        <w:rPr>
          <w:b/>
          <w:bCs/>
        </w:rPr>
        <w:t>28</w:t>
      </w:r>
      <w:r>
        <w:t>, 641-671.</w:t>
      </w:r>
    </w:p>
    <w:p>
      <w:pPr>
        <w:pStyle w:val="24"/>
        <w:ind w:left="480" w:hanging="480" w:hangingChars="200"/>
      </w:pPr>
      <w:r>
        <w:t xml:space="preserve">Zientek M.L., Likhachev A.P., Kunilov V.E., Barnes S.J., Meier A.L., Carlson R.R., Briggs P.H., Fries T.L., Adrian B.M. and Lightfoot P.C. (1994) Cumulus processes and the composition of magmatic ore deposits: examples from the Talnakh District, Russia. In </w:t>
      </w:r>
      <w:r>
        <w:rPr>
          <w:i/>
          <w:iCs/>
        </w:rPr>
        <w:t>Proceedings of the Sudbury-Noril’sk Symposium Special volume</w:t>
      </w:r>
      <w:r>
        <w:t xml:space="preserve"> (eds. Lightfoot P.C. and Naldrett. A.J.). Ministry of Northern Development and Mines, Ontario. pp. 373-392.</w:t>
      </w:r>
    </w:p>
    <w:p>
      <w:pPr>
        <w:pStyle w:val="24"/>
        <w:ind w:left="480" w:hanging="480" w:hangingChars="200"/>
      </w:pPr>
    </w:p>
    <w:sectPr>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8146F"/>
    <w:multiLevelType w:val="multilevel"/>
    <w:tmpl w:val="0F88146F"/>
    <w:lvl w:ilvl="0" w:tentative="0">
      <w:start w:val="1"/>
      <w:numFmt w:val="decimal"/>
      <w:lvlText w:val="%1."/>
      <w:lvlJc w:val="left"/>
      <w:pPr>
        <w:ind w:left="425" w:hanging="425"/>
      </w:pPr>
      <w:rPr>
        <w:rFonts w:hint="eastAsia"/>
        <w:b/>
        <w:bCs w:val="0"/>
        <w:i w:val="0"/>
        <w:iCs w:val="0"/>
        <w:caps w:val="0"/>
        <w:smallCaps w:val="0"/>
        <w:strike w:val="0"/>
        <w:dstrike w:val="0"/>
        <w:vanish w:val="0"/>
        <w:color w:val="00000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1" w:tentative="0">
      <w:start w:val="1"/>
      <w:numFmt w:val="decimal"/>
      <w:pStyle w:val="3"/>
      <w:lvlText w:val="%1.%2."/>
      <w:lvlJc w:val="left"/>
      <w:pPr>
        <w:ind w:left="567" w:hanging="567"/>
      </w:pPr>
      <w:rPr>
        <w:rFonts w:hint="eastAsia"/>
        <w:b/>
        <w:i w:val="0"/>
        <w:caps w:val="0"/>
        <w:strike w:val="0"/>
        <w:dstrike w:val="0"/>
        <w:vanish w:val="0"/>
        <w:sz w:val="24"/>
        <w:vertAlign w:val="baseline"/>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4A538D3"/>
    <w:multiLevelType w:val="multilevel"/>
    <w:tmpl w:val="14A538D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kwYTNkMzFiNDU4YWVmODk0Mjg1YTM2ZDZlMTY3NTkifQ=="/>
    <w:docVar w:name="KSO_WPS_MARK_KEY" w:val="fdf70dc8-b08a-4497-b455-16def9298462"/>
  </w:docVars>
  <w:rsids>
    <w:rsidRoot w:val="00B92557"/>
    <w:rsid w:val="0000192D"/>
    <w:rsid w:val="00001EC1"/>
    <w:rsid w:val="000033DE"/>
    <w:rsid w:val="00004780"/>
    <w:rsid w:val="00005A14"/>
    <w:rsid w:val="00006FDC"/>
    <w:rsid w:val="00007478"/>
    <w:rsid w:val="00007CE1"/>
    <w:rsid w:val="00007E02"/>
    <w:rsid w:val="0001090A"/>
    <w:rsid w:val="00010F67"/>
    <w:rsid w:val="00014E35"/>
    <w:rsid w:val="0001737A"/>
    <w:rsid w:val="000221A0"/>
    <w:rsid w:val="000228E4"/>
    <w:rsid w:val="0002308F"/>
    <w:rsid w:val="00023D03"/>
    <w:rsid w:val="00023DE1"/>
    <w:rsid w:val="00024218"/>
    <w:rsid w:val="00024AFB"/>
    <w:rsid w:val="00024D2A"/>
    <w:rsid w:val="00025369"/>
    <w:rsid w:val="000257D9"/>
    <w:rsid w:val="000263DA"/>
    <w:rsid w:val="00026896"/>
    <w:rsid w:val="00026FD3"/>
    <w:rsid w:val="00027A6C"/>
    <w:rsid w:val="000304B0"/>
    <w:rsid w:val="0003108C"/>
    <w:rsid w:val="00031318"/>
    <w:rsid w:val="000317FD"/>
    <w:rsid w:val="00031C87"/>
    <w:rsid w:val="00031CCE"/>
    <w:rsid w:val="00033670"/>
    <w:rsid w:val="00034311"/>
    <w:rsid w:val="000350E2"/>
    <w:rsid w:val="00035792"/>
    <w:rsid w:val="00036B91"/>
    <w:rsid w:val="00036F1B"/>
    <w:rsid w:val="000370BC"/>
    <w:rsid w:val="00037127"/>
    <w:rsid w:val="00040069"/>
    <w:rsid w:val="000426B0"/>
    <w:rsid w:val="0004639E"/>
    <w:rsid w:val="0004764D"/>
    <w:rsid w:val="00047C72"/>
    <w:rsid w:val="00050379"/>
    <w:rsid w:val="00050604"/>
    <w:rsid w:val="00052618"/>
    <w:rsid w:val="00052BD3"/>
    <w:rsid w:val="000532A3"/>
    <w:rsid w:val="00053A29"/>
    <w:rsid w:val="00054890"/>
    <w:rsid w:val="00061616"/>
    <w:rsid w:val="0006407A"/>
    <w:rsid w:val="00067452"/>
    <w:rsid w:val="00067651"/>
    <w:rsid w:val="0007069A"/>
    <w:rsid w:val="0007194F"/>
    <w:rsid w:val="00071A10"/>
    <w:rsid w:val="00072DD2"/>
    <w:rsid w:val="0007384B"/>
    <w:rsid w:val="00074A2E"/>
    <w:rsid w:val="000750FE"/>
    <w:rsid w:val="00075171"/>
    <w:rsid w:val="00077103"/>
    <w:rsid w:val="00077224"/>
    <w:rsid w:val="00081E55"/>
    <w:rsid w:val="0008314F"/>
    <w:rsid w:val="00084BEF"/>
    <w:rsid w:val="00087ADF"/>
    <w:rsid w:val="00090644"/>
    <w:rsid w:val="0009159B"/>
    <w:rsid w:val="00091B6B"/>
    <w:rsid w:val="00092C4C"/>
    <w:rsid w:val="000938D8"/>
    <w:rsid w:val="00093E37"/>
    <w:rsid w:val="00094562"/>
    <w:rsid w:val="000945A0"/>
    <w:rsid w:val="00096332"/>
    <w:rsid w:val="000A129F"/>
    <w:rsid w:val="000A1DCB"/>
    <w:rsid w:val="000A33A2"/>
    <w:rsid w:val="000A451A"/>
    <w:rsid w:val="000A4745"/>
    <w:rsid w:val="000B0D25"/>
    <w:rsid w:val="000B1445"/>
    <w:rsid w:val="000B16FC"/>
    <w:rsid w:val="000B1A5A"/>
    <w:rsid w:val="000B32FA"/>
    <w:rsid w:val="000B7239"/>
    <w:rsid w:val="000B78A2"/>
    <w:rsid w:val="000C0086"/>
    <w:rsid w:val="000C022A"/>
    <w:rsid w:val="000C023E"/>
    <w:rsid w:val="000C0363"/>
    <w:rsid w:val="000C28E5"/>
    <w:rsid w:val="000C3358"/>
    <w:rsid w:val="000C3AF5"/>
    <w:rsid w:val="000C4FAF"/>
    <w:rsid w:val="000C508D"/>
    <w:rsid w:val="000C595F"/>
    <w:rsid w:val="000C6CC3"/>
    <w:rsid w:val="000D0431"/>
    <w:rsid w:val="000D05B7"/>
    <w:rsid w:val="000D2E21"/>
    <w:rsid w:val="000D3199"/>
    <w:rsid w:val="000D3A18"/>
    <w:rsid w:val="000D4902"/>
    <w:rsid w:val="000D5FD5"/>
    <w:rsid w:val="000D64EF"/>
    <w:rsid w:val="000D7C4C"/>
    <w:rsid w:val="000E0304"/>
    <w:rsid w:val="000E0BE2"/>
    <w:rsid w:val="000E215D"/>
    <w:rsid w:val="000E217D"/>
    <w:rsid w:val="000E26EA"/>
    <w:rsid w:val="000E3981"/>
    <w:rsid w:val="000E573B"/>
    <w:rsid w:val="000E7193"/>
    <w:rsid w:val="000F0A9D"/>
    <w:rsid w:val="000F0F24"/>
    <w:rsid w:val="000F1293"/>
    <w:rsid w:val="000F1DA3"/>
    <w:rsid w:val="000F20F1"/>
    <w:rsid w:val="000F27D7"/>
    <w:rsid w:val="000F312C"/>
    <w:rsid w:val="000F363A"/>
    <w:rsid w:val="000F42FD"/>
    <w:rsid w:val="000F4E28"/>
    <w:rsid w:val="000F6ACA"/>
    <w:rsid w:val="00102E33"/>
    <w:rsid w:val="00103719"/>
    <w:rsid w:val="00104AE3"/>
    <w:rsid w:val="001073A9"/>
    <w:rsid w:val="00112AF3"/>
    <w:rsid w:val="0011459D"/>
    <w:rsid w:val="00114BC1"/>
    <w:rsid w:val="00114D14"/>
    <w:rsid w:val="0011530B"/>
    <w:rsid w:val="00115ADE"/>
    <w:rsid w:val="00115C4E"/>
    <w:rsid w:val="00116406"/>
    <w:rsid w:val="00117629"/>
    <w:rsid w:val="0012057A"/>
    <w:rsid w:val="00122222"/>
    <w:rsid w:val="00123A32"/>
    <w:rsid w:val="0012414C"/>
    <w:rsid w:val="0012775D"/>
    <w:rsid w:val="00130141"/>
    <w:rsid w:val="001306DB"/>
    <w:rsid w:val="00133C88"/>
    <w:rsid w:val="00134C07"/>
    <w:rsid w:val="00135B4F"/>
    <w:rsid w:val="00140950"/>
    <w:rsid w:val="00141C47"/>
    <w:rsid w:val="00141F7C"/>
    <w:rsid w:val="00143248"/>
    <w:rsid w:val="001444CE"/>
    <w:rsid w:val="0014516A"/>
    <w:rsid w:val="00146517"/>
    <w:rsid w:val="00147AAB"/>
    <w:rsid w:val="00150205"/>
    <w:rsid w:val="0015286B"/>
    <w:rsid w:val="00152A4D"/>
    <w:rsid w:val="001532FB"/>
    <w:rsid w:val="00154107"/>
    <w:rsid w:val="00156B1A"/>
    <w:rsid w:val="001578A7"/>
    <w:rsid w:val="00157B86"/>
    <w:rsid w:val="001604C4"/>
    <w:rsid w:val="00164A5F"/>
    <w:rsid w:val="00164F40"/>
    <w:rsid w:val="00165008"/>
    <w:rsid w:val="001714DD"/>
    <w:rsid w:val="00174C30"/>
    <w:rsid w:val="0017502C"/>
    <w:rsid w:val="001766AB"/>
    <w:rsid w:val="001767B7"/>
    <w:rsid w:val="0017697D"/>
    <w:rsid w:val="00183E1E"/>
    <w:rsid w:val="00184BFB"/>
    <w:rsid w:val="0018509A"/>
    <w:rsid w:val="00185ED4"/>
    <w:rsid w:val="00186286"/>
    <w:rsid w:val="0019497D"/>
    <w:rsid w:val="00195077"/>
    <w:rsid w:val="00197C93"/>
    <w:rsid w:val="001A0477"/>
    <w:rsid w:val="001A0CAE"/>
    <w:rsid w:val="001A5403"/>
    <w:rsid w:val="001A602D"/>
    <w:rsid w:val="001A7018"/>
    <w:rsid w:val="001A709A"/>
    <w:rsid w:val="001A7BEA"/>
    <w:rsid w:val="001B05B0"/>
    <w:rsid w:val="001B0CB4"/>
    <w:rsid w:val="001B0DEA"/>
    <w:rsid w:val="001B58A7"/>
    <w:rsid w:val="001C0993"/>
    <w:rsid w:val="001C209D"/>
    <w:rsid w:val="001C261B"/>
    <w:rsid w:val="001C314F"/>
    <w:rsid w:val="001C4196"/>
    <w:rsid w:val="001C4E9F"/>
    <w:rsid w:val="001C50D1"/>
    <w:rsid w:val="001C572D"/>
    <w:rsid w:val="001D090F"/>
    <w:rsid w:val="001D1C28"/>
    <w:rsid w:val="001D1E28"/>
    <w:rsid w:val="001D4DE1"/>
    <w:rsid w:val="001D5ABF"/>
    <w:rsid w:val="001D67D2"/>
    <w:rsid w:val="001E00E5"/>
    <w:rsid w:val="001E0A91"/>
    <w:rsid w:val="001E28D3"/>
    <w:rsid w:val="001E3803"/>
    <w:rsid w:val="001E5D2F"/>
    <w:rsid w:val="001E64A1"/>
    <w:rsid w:val="001E76BB"/>
    <w:rsid w:val="001F0128"/>
    <w:rsid w:val="001F1487"/>
    <w:rsid w:val="001F2B97"/>
    <w:rsid w:val="001F2F26"/>
    <w:rsid w:val="001F3B99"/>
    <w:rsid w:val="001F4767"/>
    <w:rsid w:val="001F5EEB"/>
    <w:rsid w:val="0020177A"/>
    <w:rsid w:val="00204025"/>
    <w:rsid w:val="002044A2"/>
    <w:rsid w:val="00204954"/>
    <w:rsid w:val="00205FFD"/>
    <w:rsid w:val="002065C5"/>
    <w:rsid w:val="00206EF8"/>
    <w:rsid w:val="002100BC"/>
    <w:rsid w:val="00210F71"/>
    <w:rsid w:val="002113F9"/>
    <w:rsid w:val="002117BB"/>
    <w:rsid w:val="00212F00"/>
    <w:rsid w:val="002139B3"/>
    <w:rsid w:val="00214128"/>
    <w:rsid w:val="0021422B"/>
    <w:rsid w:val="00215187"/>
    <w:rsid w:val="00215D16"/>
    <w:rsid w:val="002208A0"/>
    <w:rsid w:val="00221776"/>
    <w:rsid w:val="00222829"/>
    <w:rsid w:val="002233BF"/>
    <w:rsid w:val="002312BE"/>
    <w:rsid w:val="00231D5B"/>
    <w:rsid w:val="002320E8"/>
    <w:rsid w:val="0023356F"/>
    <w:rsid w:val="00233AAC"/>
    <w:rsid w:val="00235515"/>
    <w:rsid w:val="002355A2"/>
    <w:rsid w:val="00236111"/>
    <w:rsid w:val="00240D83"/>
    <w:rsid w:val="002419DF"/>
    <w:rsid w:val="00245B44"/>
    <w:rsid w:val="002479D1"/>
    <w:rsid w:val="00247BA5"/>
    <w:rsid w:val="002506C8"/>
    <w:rsid w:val="002516D5"/>
    <w:rsid w:val="00251CE6"/>
    <w:rsid w:val="002524D3"/>
    <w:rsid w:val="00253777"/>
    <w:rsid w:val="0025509B"/>
    <w:rsid w:val="00256A6D"/>
    <w:rsid w:val="002603A2"/>
    <w:rsid w:val="00261FD0"/>
    <w:rsid w:val="002624E4"/>
    <w:rsid w:val="00264FF5"/>
    <w:rsid w:val="002678FF"/>
    <w:rsid w:val="00271580"/>
    <w:rsid w:val="00273D36"/>
    <w:rsid w:val="00273F2D"/>
    <w:rsid w:val="002759CB"/>
    <w:rsid w:val="0027695F"/>
    <w:rsid w:val="002772AA"/>
    <w:rsid w:val="00277349"/>
    <w:rsid w:val="00280335"/>
    <w:rsid w:val="002803C9"/>
    <w:rsid w:val="00285C77"/>
    <w:rsid w:val="00286E3F"/>
    <w:rsid w:val="00286E6F"/>
    <w:rsid w:val="00287EA9"/>
    <w:rsid w:val="00291441"/>
    <w:rsid w:val="0029158F"/>
    <w:rsid w:val="00291C49"/>
    <w:rsid w:val="0029284B"/>
    <w:rsid w:val="002930DF"/>
    <w:rsid w:val="002931B0"/>
    <w:rsid w:val="0029339E"/>
    <w:rsid w:val="00293D10"/>
    <w:rsid w:val="00293DBF"/>
    <w:rsid w:val="0029427F"/>
    <w:rsid w:val="002950FF"/>
    <w:rsid w:val="002966D5"/>
    <w:rsid w:val="002977DA"/>
    <w:rsid w:val="002A0272"/>
    <w:rsid w:val="002A0BDE"/>
    <w:rsid w:val="002A0C54"/>
    <w:rsid w:val="002A0F4B"/>
    <w:rsid w:val="002A1C2C"/>
    <w:rsid w:val="002A23C5"/>
    <w:rsid w:val="002A379E"/>
    <w:rsid w:val="002A3838"/>
    <w:rsid w:val="002A4582"/>
    <w:rsid w:val="002A4684"/>
    <w:rsid w:val="002A64D3"/>
    <w:rsid w:val="002A6A92"/>
    <w:rsid w:val="002A755E"/>
    <w:rsid w:val="002B062A"/>
    <w:rsid w:val="002B0E9B"/>
    <w:rsid w:val="002B1FDA"/>
    <w:rsid w:val="002B3121"/>
    <w:rsid w:val="002B359D"/>
    <w:rsid w:val="002B5470"/>
    <w:rsid w:val="002B56A0"/>
    <w:rsid w:val="002B587E"/>
    <w:rsid w:val="002B6031"/>
    <w:rsid w:val="002B674F"/>
    <w:rsid w:val="002B77B5"/>
    <w:rsid w:val="002C1EBB"/>
    <w:rsid w:val="002C2A6E"/>
    <w:rsid w:val="002C46ED"/>
    <w:rsid w:val="002C4B65"/>
    <w:rsid w:val="002C5CC9"/>
    <w:rsid w:val="002C5D7A"/>
    <w:rsid w:val="002C7B1C"/>
    <w:rsid w:val="002C7D4D"/>
    <w:rsid w:val="002C7F51"/>
    <w:rsid w:val="002D1C23"/>
    <w:rsid w:val="002D2D89"/>
    <w:rsid w:val="002D4A5E"/>
    <w:rsid w:val="002E4D9B"/>
    <w:rsid w:val="002E543C"/>
    <w:rsid w:val="002E5B15"/>
    <w:rsid w:val="002E5BC8"/>
    <w:rsid w:val="002E6593"/>
    <w:rsid w:val="002F168D"/>
    <w:rsid w:val="002F1CE4"/>
    <w:rsid w:val="002F2FB2"/>
    <w:rsid w:val="002F5078"/>
    <w:rsid w:val="002F7DBC"/>
    <w:rsid w:val="002F7E52"/>
    <w:rsid w:val="00303BDD"/>
    <w:rsid w:val="0030588E"/>
    <w:rsid w:val="00306CD4"/>
    <w:rsid w:val="0030761A"/>
    <w:rsid w:val="003079E1"/>
    <w:rsid w:val="00310AEB"/>
    <w:rsid w:val="00312A35"/>
    <w:rsid w:val="00313B35"/>
    <w:rsid w:val="0031533A"/>
    <w:rsid w:val="00316994"/>
    <w:rsid w:val="00316B84"/>
    <w:rsid w:val="003212D6"/>
    <w:rsid w:val="003214EC"/>
    <w:rsid w:val="00323DB6"/>
    <w:rsid w:val="00324423"/>
    <w:rsid w:val="00326252"/>
    <w:rsid w:val="003264B1"/>
    <w:rsid w:val="003267C6"/>
    <w:rsid w:val="00332935"/>
    <w:rsid w:val="00334F8B"/>
    <w:rsid w:val="00336F83"/>
    <w:rsid w:val="00340AEB"/>
    <w:rsid w:val="00340D4A"/>
    <w:rsid w:val="00340FEF"/>
    <w:rsid w:val="0034149C"/>
    <w:rsid w:val="00341E47"/>
    <w:rsid w:val="003432B4"/>
    <w:rsid w:val="003441E8"/>
    <w:rsid w:val="00344A3D"/>
    <w:rsid w:val="003456B0"/>
    <w:rsid w:val="00346319"/>
    <w:rsid w:val="003464C9"/>
    <w:rsid w:val="00347D90"/>
    <w:rsid w:val="00347E77"/>
    <w:rsid w:val="00350B6C"/>
    <w:rsid w:val="00350E71"/>
    <w:rsid w:val="003513C6"/>
    <w:rsid w:val="00352A29"/>
    <w:rsid w:val="0035512E"/>
    <w:rsid w:val="00355483"/>
    <w:rsid w:val="00356947"/>
    <w:rsid w:val="00360387"/>
    <w:rsid w:val="00363F00"/>
    <w:rsid w:val="00364166"/>
    <w:rsid w:val="003647C2"/>
    <w:rsid w:val="00365348"/>
    <w:rsid w:val="00365934"/>
    <w:rsid w:val="0036679B"/>
    <w:rsid w:val="00366A48"/>
    <w:rsid w:val="00374B04"/>
    <w:rsid w:val="003762EA"/>
    <w:rsid w:val="00381EB2"/>
    <w:rsid w:val="00382549"/>
    <w:rsid w:val="00383E5F"/>
    <w:rsid w:val="003842AF"/>
    <w:rsid w:val="00385690"/>
    <w:rsid w:val="00385AF2"/>
    <w:rsid w:val="003865FB"/>
    <w:rsid w:val="003867AC"/>
    <w:rsid w:val="00390CEB"/>
    <w:rsid w:val="003921A9"/>
    <w:rsid w:val="00393E67"/>
    <w:rsid w:val="00394276"/>
    <w:rsid w:val="00395B25"/>
    <w:rsid w:val="00395FCB"/>
    <w:rsid w:val="00396282"/>
    <w:rsid w:val="00397B57"/>
    <w:rsid w:val="00397EFF"/>
    <w:rsid w:val="003A130D"/>
    <w:rsid w:val="003A1A02"/>
    <w:rsid w:val="003A1E5D"/>
    <w:rsid w:val="003A2207"/>
    <w:rsid w:val="003A301F"/>
    <w:rsid w:val="003A3CFE"/>
    <w:rsid w:val="003A4623"/>
    <w:rsid w:val="003A5899"/>
    <w:rsid w:val="003A64DF"/>
    <w:rsid w:val="003B03A6"/>
    <w:rsid w:val="003B3D93"/>
    <w:rsid w:val="003B3FFF"/>
    <w:rsid w:val="003B4775"/>
    <w:rsid w:val="003B4C44"/>
    <w:rsid w:val="003B50B1"/>
    <w:rsid w:val="003B50F6"/>
    <w:rsid w:val="003B65E8"/>
    <w:rsid w:val="003C0EF1"/>
    <w:rsid w:val="003C173C"/>
    <w:rsid w:val="003C368E"/>
    <w:rsid w:val="003C57BB"/>
    <w:rsid w:val="003C647D"/>
    <w:rsid w:val="003C7DF4"/>
    <w:rsid w:val="003D0526"/>
    <w:rsid w:val="003D13E6"/>
    <w:rsid w:val="003D4098"/>
    <w:rsid w:val="003D5C38"/>
    <w:rsid w:val="003D6FDA"/>
    <w:rsid w:val="003D7141"/>
    <w:rsid w:val="003D7A42"/>
    <w:rsid w:val="003E0EF5"/>
    <w:rsid w:val="003E214B"/>
    <w:rsid w:val="003E4101"/>
    <w:rsid w:val="003E4D38"/>
    <w:rsid w:val="003E4EC4"/>
    <w:rsid w:val="003E6AA6"/>
    <w:rsid w:val="003F1A51"/>
    <w:rsid w:val="003F1E43"/>
    <w:rsid w:val="003F2204"/>
    <w:rsid w:val="003F29DB"/>
    <w:rsid w:val="003F402D"/>
    <w:rsid w:val="003F4D64"/>
    <w:rsid w:val="003F514C"/>
    <w:rsid w:val="003F5AC5"/>
    <w:rsid w:val="003F5EE5"/>
    <w:rsid w:val="003F6E2A"/>
    <w:rsid w:val="003F6EF0"/>
    <w:rsid w:val="003F7528"/>
    <w:rsid w:val="003F7756"/>
    <w:rsid w:val="00400935"/>
    <w:rsid w:val="00400AA4"/>
    <w:rsid w:val="0040105E"/>
    <w:rsid w:val="00402785"/>
    <w:rsid w:val="00403F43"/>
    <w:rsid w:val="004041DC"/>
    <w:rsid w:val="00404543"/>
    <w:rsid w:val="00405A78"/>
    <w:rsid w:val="00405C5B"/>
    <w:rsid w:val="00407818"/>
    <w:rsid w:val="00407B88"/>
    <w:rsid w:val="004106B8"/>
    <w:rsid w:val="00411067"/>
    <w:rsid w:val="004117C8"/>
    <w:rsid w:val="00411ED5"/>
    <w:rsid w:val="00412B10"/>
    <w:rsid w:val="00412B8B"/>
    <w:rsid w:val="00412FB5"/>
    <w:rsid w:val="0041430F"/>
    <w:rsid w:val="004159FF"/>
    <w:rsid w:val="00415B10"/>
    <w:rsid w:val="00417FB6"/>
    <w:rsid w:val="00420A4B"/>
    <w:rsid w:val="004238E3"/>
    <w:rsid w:val="00424016"/>
    <w:rsid w:val="00425C4E"/>
    <w:rsid w:val="004271E0"/>
    <w:rsid w:val="00427709"/>
    <w:rsid w:val="00430114"/>
    <w:rsid w:val="00430577"/>
    <w:rsid w:val="00430C31"/>
    <w:rsid w:val="0043155E"/>
    <w:rsid w:val="004319C4"/>
    <w:rsid w:val="00432359"/>
    <w:rsid w:val="004334CA"/>
    <w:rsid w:val="00434DE7"/>
    <w:rsid w:val="00436698"/>
    <w:rsid w:val="00441329"/>
    <w:rsid w:val="00441B65"/>
    <w:rsid w:val="00442C58"/>
    <w:rsid w:val="00442EA2"/>
    <w:rsid w:val="00443A03"/>
    <w:rsid w:val="00444B47"/>
    <w:rsid w:val="00450B0D"/>
    <w:rsid w:val="00452392"/>
    <w:rsid w:val="0045258E"/>
    <w:rsid w:val="00453476"/>
    <w:rsid w:val="00453D4F"/>
    <w:rsid w:val="0045420D"/>
    <w:rsid w:val="00454FB8"/>
    <w:rsid w:val="00455923"/>
    <w:rsid w:val="00456B6C"/>
    <w:rsid w:val="00457C29"/>
    <w:rsid w:val="00461B5D"/>
    <w:rsid w:val="0046232C"/>
    <w:rsid w:val="00462B37"/>
    <w:rsid w:val="00464D50"/>
    <w:rsid w:val="00466506"/>
    <w:rsid w:val="0046716A"/>
    <w:rsid w:val="00467489"/>
    <w:rsid w:val="00467D80"/>
    <w:rsid w:val="00471BB3"/>
    <w:rsid w:val="004721F5"/>
    <w:rsid w:val="00472315"/>
    <w:rsid w:val="00474AAF"/>
    <w:rsid w:val="00476B7F"/>
    <w:rsid w:val="00477D60"/>
    <w:rsid w:val="00480A61"/>
    <w:rsid w:val="00480C59"/>
    <w:rsid w:val="00481999"/>
    <w:rsid w:val="00482395"/>
    <w:rsid w:val="00482414"/>
    <w:rsid w:val="00482F5C"/>
    <w:rsid w:val="004844B6"/>
    <w:rsid w:val="004876EA"/>
    <w:rsid w:val="00487DE8"/>
    <w:rsid w:val="00490F00"/>
    <w:rsid w:val="00492A88"/>
    <w:rsid w:val="00492DD2"/>
    <w:rsid w:val="00494C16"/>
    <w:rsid w:val="00494EBF"/>
    <w:rsid w:val="00494F7D"/>
    <w:rsid w:val="00495446"/>
    <w:rsid w:val="00496048"/>
    <w:rsid w:val="00497682"/>
    <w:rsid w:val="004A1BBE"/>
    <w:rsid w:val="004A1DBE"/>
    <w:rsid w:val="004A3DC3"/>
    <w:rsid w:val="004A6ACE"/>
    <w:rsid w:val="004A71C1"/>
    <w:rsid w:val="004B0730"/>
    <w:rsid w:val="004B1329"/>
    <w:rsid w:val="004B1B17"/>
    <w:rsid w:val="004B38E4"/>
    <w:rsid w:val="004B3B5E"/>
    <w:rsid w:val="004B44B8"/>
    <w:rsid w:val="004B54E0"/>
    <w:rsid w:val="004B6773"/>
    <w:rsid w:val="004B726B"/>
    <w:rsid w:val="004C00AD"/>
    <w:rsid w:val="004C297C"/>
    <w:rsid w:val="004C2A72"/>
    <w:rsid w:val="004C32F2"/>
    <w:rsid w:val="004C451D"/>
    <w:rsid w:val="004C4EB1"/>
    <w:rsid w:val="004C5EDD"/>
    <w:rsid w:val="004C5F19"/>
    <w:rsid w:val="004D17A6"/>
    <w:rsid w:val="004D7A0D"/>
    <w:rsid w:val="004D7C98"/>
    <w:rsid w:val="004E0431"/>
    <w:rsid w:val="004E0C9A"/>
    <w:rsid w:val="004E1383"/>
    <w:rsid w:val="004E2118"/>
    <w:rsid w:val="004E346F"/>
    <w:rsid w:val="004E57F9"/>
    <w:rsid w:val="004E6BE2"/>
    <w:rsid w:val="004E6DA2"/>
    <w:rsid w:val="004F01C0"/>
    <w:rsid w:val="004F0BB6"/>
    <w:rsid w:val="004F11A4"/>
    <w:rsid w:val="004F1A26"/>
    <w:rsid w:val="004F2A61"/>
    <w:rsid w:val="004F3285"/>
    <w:rsid w:val="004F4037"/>
    <w:rsid w:val="004F5636"/>
    <w:rsid w:val="004F5E43"/>
    <w:rsid w:val="004F6718"/>
    <w:rsid w:val="004F7306"/>
    <w:rsid w:val="005004C3"/>
    <w:rsid w:val="005006C2"/>
    <w:rsid w:val="005020AC"/>
    <w:rsid w:val="005042A3"/>
    <w:rsid w:val="005043D4"/>
    <w:rsid w:val="00507A2E"/>
    <w:rsid w:val="00511132"/>
    <w:rsid w:val="0051166D"/>
    <w:rsid w:val="00512416"/>
    <w:rsid w:val="00514D90"/>
    <w:rsid w:val="00515C4C"/>
    <w:rsid w:val="005164D4"/>
    <w:rsid w:val="00517B98"/>
    <w:rsid w:val="00517F7D"/>
    <w:rsid w:val="00520043"/>
    <w:rsid w:val="00520CA0"/>
    <w:rsid w:val="005212F6"/>
    <w:rsid w:val="00522FF6"/>
    <w:rsid w:val="005232BE"/>
    <w:rsid w:val="00523511"/>
    <w:rsid w:val="005253F2"/>
    <w:rsid w:val="00526A02"/>
    <w:rsid w:val="0052763D"/>
    <w:rsid w:val="00532583"/>
    <w:rsid w:val="00534D16"/>
    <w:rsid w:val="00534D50"/>
    <w:rsid w:val="005406BF"/>
    <w:rsid w:val="00541CA3"/>
    <w:rsid w:val="0054262D"/>
    <w:rsid w:val="0054304A"/>
    <w:rsid w:val="005431A9"/>
    <w:rsid w:val="00543497"/>
    <w:rsid w:val="00546C4F"/>
    <w:rsid w:val="00547A56"/>
    <w:rsid w:val="005519BB"/>
    <w:rsid w:val="005528E7"/>
    <w:rsid w:val="00553DCD"/>
    <w:rsid w:val="00554E76"/>
    <w:rsid w:val="00560276"/>
    <w:rsid w:val="00560D9A"/>
    <w:rsid w:val="00560F55"/>
    <w:rsid w:val="005617B8"/>
    <w:rsid w:val="00562682"/>
    <w:rsid w:val="00564830"/>
    <w:rsid w:val="00567907"/>
    <w:rsid w:val="00571B89"/>
    <w:rsid w:val="00572959"/>
    <w:rsid w:val="00574C0E"/>
    <w:rsid w:val="00575D75"/>
    <w:rsid w:val="00577569"/>
    <w:rsid w:val="0057789A"/>
    <w:rsid w:val="00577C15"/>
    <w:rsid w:val="00577F84"/>
    <w:rsid w:val="005804B2"/>
    <w:rsid w:val="005808C3"/>
    <w:rsid w:val="00581ACE"/>
    <w:rsid w:val="00582205"/>
    <w:rsid w:val="005822E8"/>
    <w:rsid w:val="005831CA"/>
    <w:rsid w:val="00584AD9"/>
    <w:rsid w:val="0058541C"/>
    <w:rsid w:val="00587407"/>
    <w:rsid w:val="00591FF3"/>
    <w:rsid w:val="00594569"/>
    <w:rsid w:val="00594ADC"/>
    <w:rsid w:val="005A0043"/>
    <w:rsid w:val="005A00D5"/>
    <w:rsid w:val="005A069F"/>
    <w:rsid w:val="005A0C4D"/>
    <w:rsid w:val="005A148A"/>
    <w:rsid w:val="005A3DED"/>
    <w:rsid w:val="005A4E54"/>
    <w:rsid w:val="005A5F6B"/>
    <w:rsid w:val="005B0CB4"/>
    <w:rsid w:val="005B2BA3"/>
    <w:rsid w:val="005B32AC"/>
    <w:rsid w:val="005B4474"/>
    <w:rsid w:val="005B4F16"/>
    <w:rsid w:val="005B5095"/>
    <w:rsid w:val="005B5396"/>
    <w:rsid w:val="005B6259"/>
    <w:rsid w:val="005B6D54"/>
    <w:rsid w:val="005C0454"/>
    <w:rsid w:val="005C05F3"/>
    <w:rsid w:val="005C062B"/>
    <w:rsid w:val="005C0811"/>
    <w:rsid w:val="005C1252"/>
    <w:rsid w:val="005C1DB0"/>
    <w:rsid w:val="005C1FE3"/>
    <w:rsid w:val="005C2E48"/>
    <w:rsid w:val="005C43A6"/>
    <w:rsid w:val="005C4C69"/>
    <w:rsid w:val="005C66CD"/>
    <w:rsid w:val="005C7E97"/>
    <w:rsid w:val="005D1D21"/>
    <w:rsid w:val="005D2F2E"/>
    <w:rsid w:val="005D50BD"/>
    <w:rsid w:val="005D50ED"/>
    <w:rsid w:val="005D5188"/>
    <w:rsid w:val="005D59F1"/>
    <w:rsid w:val="005D75FD"/>
    <w:rsid w:val="005E3661"/>
    <w:rsid w:val="005E4BC8"/>
    <w:rsid w:val="005E7165"/>
    <w:rsid w:val="005E78EF"/>
    <w:rsid w:val="005F088F"/>
    <w:rsid w:val="005F101C"/>
    <w:rsid w:val="005F3032"/>
    <w:rsid w:val="005F39E2"/>
    <w:rsid w:val="005F6F21"/>
    <w:rsid w:val="00600E56"/>
    <w:rsid w:val="00603329"/>
    <w:rsid w:val="00603DD0"/>
    <w:rsid w:val="0060583E"/>
    <w:rsid w:val="00610AF6"/>
    <w:rsid w:val="00611422"/>
    <w:rsid w:val="00612ACA"/>
    <w:rsid w:val="00613265"/>
    <w:rsid w:val="00614954"/>
    <w:rsid w:val="00614AC0"/>
    <w:rsid w:val="00615E25"/>
    <w:rsid w:val="00616528"/>
    <w:rsid w:val="00616E42"/>
    <w:rsid w:val="006200F3"/>
    <w:rsid w:val="006206C2"/>
    <w:rsid w:val="00620A65"/>
    <w:rsid w:val="00620FDC"/>
    <w:rsid w:val="006214CE"/>
    <w:rsid w:val="006219BF"/>
    <w:rsid w:val="00622102"/>
    <w:rsid w:val="006229CE"/>
    <w:rsid w:val="00622E5F"/>
    <w:rsid w:val="00623C78"/>
    <w:rsid w:val="00624656"/>
    <w:rsid w:val="0062569A"/>
    <w:rsid w:val="00626403"/>
    <w:rsid w:val="00626ADE"/>
    <w:rsid w:val="00626AEA"/>
    <w:rsid w:val="0062758D"/>
    <w:rsid w:val="00630034"/>
    <w:rsid w:val="00631772"/>
    <w:rsid w:val="00631C05"/>
    <w:rsid w:val="00633040"/>
    <w:rsid w:val="00633162"/>
    <w:rsid w:val="00633ED1"/>
    <w:rsid w:val="00635093"/>
    <w:rsid w:val="0063675F"/>
    <w:rsid w:val="006418BE"/>
    <w:rsid w:val="00642BC8"/>
    <w:rsid w:val="006438B9"/>
    <w:rsid w:val="006442DF"/>
    <w:rsid w:val="00647035"/>
    <w:rsid w:val="0064785A"/>
    <w:rsid w:val="00647DD4"/>
    <w:rsid w:val="006512E8"/>
    <w:rsid w:val="00652048"/>
    <w:rsid w:val="006527E9"/>
    <w:rsid w:val="00653162"/>
    <w:rsid w:val="00654A3A"/>
    <w:rsid w:val="00656D4A"/>
    <w:rsid w:val="00660554"/>
    <w:rsid w:val="00660DD5"/>
    <w:rsid w:val="00662369"/>
    <w:rsid w:val="006653A8"/>
    <w:rsid w:val="006654C3"/>
    <w:rsid w:val="00665A50"/>
    <w:rsid w:val="00665C6F"/>
    <w:rsid w:val="006661F0"/>
    <w:rsid w:val="00666F41"/>
    <w:rsid w:val="00667E82"/>
    <w:rsid w:val="00672671"/>
    <w:rsid w:val="00674686"/>
    <w:rsid w:val="006760D4"/>
    <w:rsid w:val="00676416"/>
    <w:rsid w:val="0067674F"/>
    <w:rsid w:val="00677ABE"/>
    <w:rsid w:val="00680530"/>
    <w:rsid w:val="0068234B"/>
    <w:rsid w:val="006826B2"/>
    <w:rsid w:val="006827CA"/>
    <w:rsid w:val="00683EEE"/>
    <w:rsid w:val="00684199"/>
    <w:rsid w:val="006857EF"/>
    <w:rsid w:val="0068682F"/>
    <w:rsid w:val="0069139C"/>
    <w:rsid w:val="006953D4"/>
    <w:rsid w:val="00695DBC"/>
    <w:rsid w:val="0069611A"/>
    <w:rsid w:val="00696355"/>
    <w:rsid w:val="00696822"/>
    <w:rsid w:val="006A055A"/>
    <w:rsid w:val="006A0598"/>
    <w:rsid w:val="006A0A27"/>
    <w:rsid w:val="006A1F8F"/>
    <w:rsid w:val="006A347F"/>
    <w:rsid w:val="006A354C"/>
    <w:rsid w:val="006A435F"/>
    <w:rsid w:val="006A49CF"/>
    <w:rsid w:val="006A4A26"/>
    <w:rsid w:val="006A50BE"/>
    <w:rsid w:val="006A6536"/>
    <w:rsid w:val="006A6C09"/>
    <w:rsid w:val="006A72B3"/>
    <w:rsid w:val="006A7E89"/>
    <w:rsid w:val="006B0282"/>
    <w:rsid w:val="006B1099"/>
    <w:rsid w:val="006B144F"/>
    <w:rsid w:val="006B2363"/>
    <w:rsid w:val="006B2B6E"/>
    <w:rsid w:val="006B605E"/>
    <w:rsid w:val="006B764C"/>
    <w:rsid w:val="006B777A"/>
    <w:rsid w:val="006B7884"/>
    <w:rsid w:val="006B7CFF"/>
    <w:rsid w:val="006C11E4"/>
    <w:rsid w:val="006C26C1"/>
    <w:rsid w:val="006C281F"/>
    <w:rsid w:val="006C2E9C"/>
    <w:rsid w:val="006C3756"/>
    <w:rsid w:val="006C4EBC"/>
    <w:rsid w:val="006C58ED"/>
    <w:rsid w:val="006C58EE"/>
    <w:rsid w:val="006C63F9"/>
    <w:rsid w:val="006D0E7E"/>
    <w:rsid w:val="006D3288"/>
    <w:rsid w:val="006D3357"/>
    <w:rsid w:val="006D3390"/>
    <w:rsid w:val="006D5FDA"/>
    <w:rsid w:val="006D7927"/>
    <w:rsid w:val="006E1CAA"/>
    <w:rsid w:val="006E45CA"/>
    <w:rsid w:val="006E7222"/>
    <w:rsid w:val="006F05A0"/>
    <w:rsid w:val="006F0706"/>
    <w:rsid w:val="006F0A65"/>
    <w:rsid w:val="006F308C"/>
    <w:rsid w:val="006F46AC"/>
    <w:rsid w:val="006F7B83"/>
    <w:rsid w:val="00702F62"/>
    <w:rsid w:val="00705499"/>
    <w:rsid w:val="00707801"/>
    <w:rsid w:val="00707969"/>
    <w:rsid w:val="00711829"/>
    <w:rsid w:val="007133AF"/>
    <w:rsid w:val="00713B46"/>
    <w:rsid w:val="00714D95"/>
    <w:rsid w:val="0071513C"/>
    <w:rsid w:val="007160D2"/>
    <w:rsid w:val="00716AC9"/>
    <w:rsid w:val="00720ADD"/>
    <w:rsid w:val="00721803"/>
    <w:rsid w:val="00722B2B"/>
    <w:rsid w:val="00723F5A"/>
    <w:rsid w:val="0072444C"/>
    <w:rsid w:val="00726295"/>
    <w:rsid w:val="00726610"/>
    <w:rsid w:val="007307DD"/>
    <w:rsid w:val="00730862"/>
    <w:rsid w:val="007311DD"/>
    <w:rsid w:val="0073187E"/>
    <w:rsid w:val="0073199A"/>
    <w:rsid w:val="00731AAF"/>
    <w:rsid w:val="00731CD7"/>
    <w:rsid w:val="00732908"/>
    <w:rsid w:val="00732948"/>
    <w:rsid w:val="007333A8"/>
    <w:rsid w:val="00734523"/>
    <w:rsid w:val="00734B52"/>
    <w:rsid w:val="00736ECB"/>
    <w:rsid w:val="0074057B"/>
    <w:rsid w:val="00740B05"/>
    <w:rsid w:val="00741532"/>
    <w:rsid w:val="00741752"/>
    <w:rsid w:val="007426FC"/>
    <w:rsid w:val="00743453"/>
    <w:rsid w:val="00743D31"/>
    <w:rsid w:val="0074404C"/>
    <w:rsid w:val="00744972"/>
    <w:rsid w:val="00745FD4"/>
    <w:rsid w:val="00752E3F"/>
    <w:rsid w:val="00753A83"/>
    <w:rsid w:val="00753AAE"/>
    <w:rsid w:val="0075437A"/>
    <w:rsid w:val="0075466C"/>
    <w:rsid w:val="00754CF0"/>
    <w:rsid w:val="00755B60"/>
    <w:rsid w:val="00756624"/>
    <w:rsid w:val="00757079"/>
    <w:rsid w:val="00761052"/>
    <w:rsid w:val="007639F5"/>
    <w:rsid w:val="00770D39"/>
    <w:rsid w:val="00770FB1"/>
    <w:rsid w:val="00773707"/>
    <w:rsid w:val="0077437B"/>
    <w:rsid w:val="007748E2"/>
    <w:rsid w:val="00775504"/>
    <w:rsid w:val="007757DD"/>
    <w:rsid w:val="00775930"/>
    <w:rsid w:val="007763C3"/>
    <w:rsid w:val="0077767F"/>
    <w:rsid w:val="00780137"/>
    <w:rsid w:val="007805D8"/>
    <w:rsid w:val="00781D37"/>
    <w:rsid w:val="007829BC"/>
    <w:rsid w:val="007844BB"/>
    <w:rsid w:val="00786668"/>
    <w:rsid w:val="007903D3"/>
    <w:rsid w:val="0079073C"/>
    <w:rsid w:val="00791589"/>
    <w:rsid w:val="00792746"/>
    <w:rsid w:val="00792D57"/>
    <w:rsid w:val="00796DF7"/>
    <w:rsid w:val="007A0F58"/>
    <w:rsid w:val="007A1AB0"/>
    <w:rsid w:val="007A29EC"/>
    <w:rsid w:val="007A2A20"/>
    <w:rsid w:val="007A453D"/>
    <w:rsid w:val="007A4A7A"/>
    <w:rsid w:val="007A6289"/>
    <w:rsid w:val="007A7D12"/>
    <w:rsid w:val="007B2C2F"/>
    <w:rsid w:val="007B36D4"/>
    <w:rsid w:val="007B4778"/>
    <w:rsid w:val="007B6AE3"/>
    <w:rsid w:val="007C16E7"/>
    <w:rsid w:val="007C2662"/>
    <w:rsid w:val="007C4A75"/>
    <w:rsid w:val="007C7224"/>
    <w:rsid w:val="007D0464"/>
    <w:rsid w:val="007D0E8E"/>
    <w:rsid w:val="007D1971"/>
    <w:rsid w:val="007D2BE6"/>
    <w:rsid w:val="007D4BA8"/>
    <w:rsid w:val="007D5210"/>
    <w:rsid w:val="007D5A1C"/>
    <w:rsid w:val="007D5CA6"/>
    <w:rsid w:val="007E09E6"/>
    <w:rsid w:val="007E1A3B"/>
    <w:rsid w:val="007E20FB"/>
    <w:rsid w:val="007E2383"/>
    <w:rsid w:val="007E2642"/>
    <w:rsid w:val="007E49FE"/>
    <w:rsid w:val="007E5676"/>
    <w:rsid w:val="007E56DA"/>
    <w:rsid w:val="007E57DC"/>
    <w:rsid w:val="007E5A02"/>
    <w:rsid w:val="007E7D07"/>
    <w:rsid w:val="007F0CC3"/>
    <w:rsid w:val="007F127B"/>
    <w:rsid w:val="007F1D4D"/>
    <w:rsid w:val="007F7AD9"/>
    <w:rsid w:val="00801862"/>
    <w:rsid w:val="00801BC1"/>
    <w:rsid w:val="00803E6E"/>
    <w:rsid w:val="00804244"/>
    <w:rsid w:val="0080426B"/>
    <w:rsid w:val="00804273"/>
    <w:rsid w:val="0080487F"/>
    <w:rsid w:val="00806743"/>
    <w:rsid w:val="008120AF"/>
    <w:rsid w:val="008132C7"/>
    <w:rsid w:val="00814649"/>
    <w:rsid w:val="00815DFC"/>
    <w:rsid w:val="00820D5B"/>
    <w:rsid w:val="00821041"/>
    <w:rsid w:val="00821615"/>
    <w:rsid w:val="00821C73"/>
    <w:rsid w:val="008221C3"/>
    <w:rsid w:val="008234FD"/>
    <w:rsid w:val="00825045"/>
    <w:rsid w:val="00826536"/>
    <w:rsid w:val="00826AFE"/>
    <w:rsid w:val="008309D2"/>
    <w:rsid w:val="0083160E"/>
    <w:rsid w:val="008321D5"/>
    <w:rsid w:val="00832AF2"/>
    <w:rsid w:val="0083391A"/>
    <w:rsid w:val="00833EA8"/>
    <w:rsid w:val="00834294"/>
    <w:rsid w:val="008350B4"/>
    <w:rsid w:val="008358C4"/>
    <w:rsid w:val="00835EAF"/>
    <w:rsid w:val="008403D7"/>
    <w:rsid w:val="0084158B"/>
    <w:rsid w:val="00841FB5"/>
    <w:rsid w:val="008437EC"/>
    <w:rsid w:val="008437FA"/>
    <w:rsid w:val="00844CEA"/>
    <w:rsid w:val="00845216"/>
    <w:rsid w:val="00845F1F"/>
    <w:rsid w:val="0084755A"/>
    <w:rsid w:val="0085064C"/>
    <w:rsid w:val="00850A91"/>
    <w:rsid w:val="00852222"/>
    <w:rsid w:val="00852D15"/>
    <w:rsid w:val="008555EB"/>
    <w:rsid w:val="00857F89"/>
    <w:rsid w:val="008601BB"/>
    <w:rsid w:val="008617D5"/>
    <w:rsid w:val="00862BC3"/>
    <w:rsid w:val="00862E4E"/>
    <w:rsid w:val="00865045"/>
    <w:rsid w:val="008654D1"/>
    <w:rsid w:val="0086767E"/>
    <w:rsid w:val="00870FFA"/>
    <w:rsid w:val="0087219F"/>
    <w:rsid w:val="00872ED6"/>
    <w:rsid w:val="00872F3B"/>
    <w:rsid w:val="0087477A"/>
    <w:rsid w:val="0087726C"/>
    <w:rsid w:val="0087733A"/>
    <w:rsid w:val="00880041"/>
    <w:rsid w:val="00880154"/>
    <w:rsid w:val="00882F57"/>
    <w:rsid w:val="00884521"/>
    <w:rsid w:val="0088610E"/>
    <w:rsid w:val="008869F7"/>
    <w:rsid w:val="0089164D"/>
    <w:rsid w:val="008929CA"/>
    <w:rsid w:val="00892EDC"/>
    <w:rsid w:val="008A059E"/>
    <w:rsid w:val="008A1AF1"/>
    <w:rsid w:val="008A1C0E"/>
    <w:rsid w:val="008A1DF6"/>
    <w:rsid w:val="008A2315"/>
    <w:rsid w:val="008A2454"/>
    <w:rsid w:val="008A60BF"/>
    <w:rsid w:val="008A6DFC"/>
    <w:rsid w:val="008A7769"/>
    <w:rsid w:val="008B1047"/>
    <w:rsid w:val="008B1761"/>
    <w:rsid w:val="008B1D6B"/>
    <w:rsid w:val="008B3DEE"/>
    <w:rsid w:val="008B5CA6"/>
    <w:rsid w:val="008B63F0"/>
    <w:rsid w:val="008B7913"/>
    <w:rsid w:val="008C54D5"/>
    <w:rsid w:val="008C560B"/>
    <w:rsid w:val="008C575E"/>
    <w:rsid w:val="008C5C4F"/>
    <w:rsid w:val="008C5F60"/>
    <w:rsid w:val="008C7B8F"/>
    <w:rsid w:val="008C7EE6"/>
    <w:rsid w:val="008D0DBB"/>
    <w:rsid w:val="008D4A27"/>
    <w:rsid w:val="008D5A3A"/>
    <w:rsid w:val="008D603F"/>
    <w:rsid w:val="008D61CB"/>
    <w:rsid w:val="008D65E7"/>
    <w:rsid w:val="008D6DAD"/>
    <w:rsid w:val="008D6F1F"/>
    <w:rsid w:val="008E0056"/>
    <w:rsid w:val="008E0CF5"/>
    <w:rsid w:val="008E0D41"/>
    <w:rsid w:val="008E1B61"/>
    <w:rsid w:val="008E288B"/>
    <w:rsid w:val="008E289D"/>
    <w:rsid w:val="008E4246"/>
    <w:rsid w:val="008E4988"/>
    <w:rsid w:val="008E5CD8"/>
    <w:rsid w:val="008E5D08"/>
    <w:rsid w:val="008E5DE7"/>
    <w:rsid w:val="008E7079"/>
    <w:rsid w:val="008E7769"/>
    <w:rsid w:val="008E7D6D"/>
    <w:rsid w:val="008F0829"/>
    <w:rsid w:val="008F0EBC"/>
    <w:rsid w:val="008F203A"/>
    <w:rsid w:val="008F23C4"/>
    <w:rsid w:val="008F2B50"/>
    <w:rsid w:val="008F437D"/>
    <w:rsid w:val="008F44C7"/>
    <w:rsid w:val="008F6207"/>
    <w:rsid w:val="008F6448"/>
    <w:rsid w:val="00902004"/>
    <w:rsid w:val="00902E8B"/>
    <w:rsid w:val="00905A4A"/>
    <w:rsid w:val="00905F14"/>
    <w:rsid w:val="009068C5"/>
    <w:rsid w:val="00906C56"/>
    <w:rsid w:val="00906D3F"/>
    <w:rsid w:val="0091001F"/>
    <w:rsid w:val="0091024B"/>
    <w:rsid w:val="00913FBD"/>
    <w:rsid w:val="00914D80"/>
    <w:rsid w:val="00915076"/>
    <w:rsid w:val="00920BBB"/>
    <w:rsid w:val="00921AA9"/>
    <w:rsid w:val="00921BE5"/>
    <w:rsid w:val="00922215"/>
    <w:rsid w:val="0092279A"/>
    <w:rsid w:val="0092455D"/>
    <w:rsid w:val="009257C0"/>
    <w:rsid w:val="00927114"/>
    <w:rsid w:val="00930DB4"/>
    <w:rsid w:val="009319C0"/>
    <w:rsid w:val="00931AF0"/>
    <w:rsid w:val="009324DD"/>
    <w:rsid w:val="0093261B"/>
    <w:rsid w:val="00934336"/>
    <w:rsid w:val="00934C1B"/>
    <w:rsid w:val="0093547D"/>
    <w:rsid w:val="0093774C"/>
    <w:rsid w:val="009417C9"/>
    <w:rsid w:val="00943C70"/>
    <w:rsid w:val="00944AD6"/>
    <w:rsid w:val="00945B75"/>
    <w:rsid w:val="009460B1"/>
    <w:rsid w:val="00946608"/>
    <w:rsid w:val="00950EA0"/>
    <w:rsid w:val="00953678"/>
    <w:rsid w:val="00953B0B"/>
    <w:rsid w:val="00954696"/>
    <w:rsid w:val="009560EC"/>
    <w:rsid w:val="00956AFD"/>
    <w:rsid w:val="00961126"/>
    <w:rsid w:val="00962102"/>
    <w:rsid w:val="00962742"/>
    <w:rsid w:val="00962B67"/>
    <w:rsid w:val="00963FB3"/>
    <w:rsid w:val="0096481F"/>
    <w:rsid w:val="009654CD"/>
    <w:rsid w:val="0096658E"/>
    <w:rsid w:val="0097099B"/>
    <w:rsid w:val="00971666"/>
    <w:rsid w:val="00971BF7"/>
    <w:rsid w:val="00974D8E"/>
    <w:rsid w:val="0097510A"/>
    <w:rsid w:val="009776F2"/>
    <w:rsid w:val="00983479"/>
    <w:rsid w:val="00983C25"/>
    <w:rsid w:val="0098493F"/>
    <w:rsid w:val="00984CD3"/>
    <w:rsid w:val="00984F87"/>
    <w:rsid w:val="0098609C"/>
    <w:rsid w:val="009865BB"/>
    <w:rsid w:val="00990A3C"/>
    <w:rsid w:val="00991C4B"/>
    <w:rsid w:val="0099281B"/>
    <w:rsid w:val="00994152"/>
    <w:rsid w:val="00996089"/>
    <w:rsid w:val="00996922"/>
    <w:rsid w:val="009A049D"/>
    <w:rsid w:val="009A297B"/>
    <w:rsid w:val="009A2DE0"/>
    <w:rsid w:val="009A44E3"/>
    <w:rsid w:val="009A730D"/>
    <w:rsid w:val="009A778E"/>
    <w:rsid w:val="009B1292"/>
    <w:rsid w:val="009B1ADE"/>
    <w:rsid w:val="009B29DD"/>
    <w:rsid w:val="009B3594"/>
    <w:rsid w:val="009B5681"/>
    <w:rsid w:val="009B5E57"/>
    <w:rsid w:val="009B6743"/>
    <w:rsid w:val="009B7660"/>
    <w:rsid w:val="009C013E"/>
    <w:rsid w:val="009C097C"/>
    <w:rsid w:val="009C2105"/>
    <w:rsid w:val="009C4486"/>
    <w:rsid w:val="009C4AF3"/>
    <w:rsid w:val="009C4FE5"/>
    <w:rsid w:val="009D0391"/>
    <w:rsid w:val="009D1326"/>
    <w:rsid w:val="009D17C9"/>
    <w:rsid w:val="009D19DB"/>
    <w:rsid w:val="009D1ED5"/>
    <w:rsid w:val="009D1FD0"/>
    <w:rsid w:val="009D5F56"/>
    <w:rsid w:val="009D67FB"/>
    <w:rsid w:val="009D7582"/>
    <w:rsid w:val="009D7FE8"/>
    <w:rsid w:val="009E04AD"/>
    <w:rsid w:val="009E0A79"/>
    <w:rsid w:val="009E1BE3"/>
    <w:rsid w:val="009E25F7"/>
    <w:rsid w:val="009E27E6"/>
    <w:rsid w:val="009E2908"/>
    <w:rsid w:val="009E2DEC"/>
    <w:rsid w:val="009E3988"/>
    <w:rsid w:val="009E3A04"/>
    <w:rsid w:val="009E4A93"/>
    <w:rsid w:val="009E4B21"/>
    <w:rsid w:val="009E4D04"/>
    <w:rsid w:val="009E73B4"/>
    <w:rsid w:val="009E7843"/>
    <w:rsid w:val="009F1BFD"/>
    <w:rsid w:val="009F2213"/>
    <w:rsid w:val="009F253B"/>
    <w:rsid w:val="009F3808"/>
    <w:rsid w:val="009F469E"/>
    <w:rsid w:val="009F46D5"/>
    <w:rsid w:val="009F50EF"/>
    <w:rsid w:val="009F5D5E"/>
    <w:rsid w:val="009F7028"/>
    <w:rsid w:val="00A010B0"/>
    <w:rsid w:val="00A01522"/>
    <w:rsid w:val="00A0189A"/>
    <w:rsid w:val="00A03A9B"/>
    <w:rsid w:val="00A07299"/>
    <w:rsid w:val="00A1102C"/>
    <w:rsid w:val="00A132BB"/>
    <w:rsid w:val="00A13318"/>
    <w:rsid w:val="00A145BA"/>
    <w:rsid w:val="00A1517D"/>
    <w:rsid w:val="00A155FB"/>
    <w:rsid w:val="00A15876"/>
    <w:rsid w:val="00A178EC"/>
    <w:rsid w:val="00A20D46"/>
    <w:rsid w:val="00A22CB1"/>
    <w:rsid w:val="00A264A3"/>
    <w:rsid w:val="00A265C8"/>
    <w:rsid w:val="00A269D5"/>
    <w:rsid w:val="00A27B01"/>
    <w:rsid w:val="00A27EB5"/>
    <w:rsid w:val="00A30ABF"/>
    <w:rsid w:val="00A3230D"/>
    <w:rsid w:val="00A329D6"/>
    <w:rsid w:val="00A33B82"/>
    <w:rsid w:val="00A33E32"/>
    <w:rsid w:val="00A34329"/>
    <w:rsid w:val="00A34E5F"/>
    <w:rsid w:val="00A43505"/>
    <w:rsid w:val="00A43647"/>
    <w:rsid w:val="00A4383B"/>
    <w:rsid w:val="00A44BBD"/>
    <w:rsid w:val="00A457F5"/>
    <w:rsid w:val="00A50D32"/>
    <w:rsid w:val="00A51415"/>
    <w:rsid w:val="00A52682"/>
    <w:rsid w:val="00A531AE"/>
    <w:rsid w:val="00A5604C"/>
    <w:rsid w:val="00A60D3E"/>
    <w:rsid w:val="00A60D90"/>
    <w:rsid w:val="00A61E1C"/>
    <w:rsid w:val="00A623BE"/>
    <w:rsid w:val="00A63B35"/>
    <w:rsid w:val="00A65EDB"/>
    <w:rsid w:val="00A7199A"/>
    <w:rsid w:val="00A72B1D"/>
    <w:rsid w:val="00A74D73"/>
    <w:rsid w:val="00A755A5"/>
    <w:rsid w:val="00A76F88"/>
    <w:rsid w:val="00A77A7F"/>
    <w:rsid w:val="00A805C8"/>
    <w:rsid w:val="00A81099"/>
    <w:rsid w:val="00A81895"/>
    <w:rsid w:val="00A819CB"/>
    <w:rsid w:val="00A81CA9"/>
    <w:rsid w:val="00A85055"/>
    <w:rsid w:val="00A8606B"/>
    <w:rsid w:val="00A90988"/>
    <w:rsid w:val="00A9317B"/>
    <w:rsid w:val="00A941EC"/>
    <w:rsid w:val="00A95171"/>
    <w:rsid w:val="00A95A37"/>
    <w:rsid w:val="00A96A91"/>
    <w:rsid w:val="00A96FFD"/>
    <w:rsid w:val="00A97E6E"/>
    <w:rsid w:val="00AA04C5"/>
    <w:rsid w:val="00AA15DE"/>
    <w:rsid w:val="00AA1C2F"/>
    <w:rsid w:val="00AA3B48"/>
    <w:rsid w:val="00AA5DAC"/>
    <w:rsid w:val="00AA60B1"/>
    <w:rsid w:val="00AA6618"/>
    <w:rsid w:val="00AA7459"/>
    <w:rsid w:val="00AB25FF"/>
    <w:rsid w:val="00AB274A"/>
    <w:rsid w:val="00AB36AA"/>
    <w:rsid w:val="00AB3D4B"/>
    <w:rsid w:val="00AB62FC"/>
    <w:rsid w:val="00AB6B1F"/>
    <w:rsid w:val="00AC02BA"/>
    <w:rsid w:val="00AC2697"/>
    <w:rsid w:val="00AC35FC"/>
    <w:rsid w:val="00AC4AF1"/>
    <w:rsid w:val="00AC55C3"/>
    <w:rsid w:val="00AC6F49"/>
    <w:rsid w:val="00AD0D1E"/>
    <w:rsid w:val="00AD14C1"/>
    <w:rsid w:val="00AD1733"/>
    <w:rsid w:val="00AD29EB"/>
    <w:rsid w:val="00AD417C"/>
    <w:rsid w:val="00AD667B"/>
    <w:rsid w:val="00AD739F"/>
    <w:rsid w:val="00AE1D36"/>
    <w:rsid w:val="00AE28C4"/>
    <w:rsid w:val="00AE290B"/>
    <w:rsid w:val="00AE32A4"/>
    <w:rsid w:val="00AE4502"/>
    <w:rsid w:val="00AE5274"/>
    <w:rsid w:val="00AE58F7"/>
    <w:rsid w:val="00AE6765"/>
    <w:rsid w:val="00AF32BD"/>
    <w:rsid w:val="00AF41F4"/>
    <w:rsid w:val="00AF5D1F"/>
    <w:rsid w:val="00AF678E"/>
    <w:rsid w:val="00B00A16"/>
    <w:rsid w:val="00B0103D"/>
    <w:rsid w:val="00B02507"/>
    <w:rsid w:val="00B07189"/>
    <w:rsid w:val="00B07810"/>
    <w:rsid w:val="00B07DF8"/>
    <w:rsid w:val="00B1193D"/>
    <w:rsid w:val="00B11DF9"/>
    <w:rsid w:val="00B131DB"/>
    <w:rsid w:val="00B2029E"/>
    <w:rsid w:val="00B2058A"/>
    <w:rsid w:val="00B20D22"/>
    <w:rsid w:val="00B210B2"/>
    <w:rsid w:val="00B241B1"/>
    <w:rsid w:val="00B24D76"/>
    <w:rsid w:val="00B2506F"/>
    <w:rsid w:val="00B263D1"/>
    <w:rsid w:val="00B2662F"/>
    <w:rsid w:val="00B33A29"/>
    <w:rsid w:val="00B3452A"/>
    <w:rsid w:val="00B3585C"/>
    <w:rsid w:val="00B35CFB"/>
    <w:rsid w:val="00B415AE"/>
    <w:rsid w:val="00B43A2C"/>
    <w:rsid w:val="00B45E5A"/>
    <w:rsid w:val="00B45F64"/>
    <w:rsid w:val="00B461EC"/>
    <w:rsid w:val="00B467EF"/>
    <w:rsid w:val="00B46D35"/>
    <w:rsid w:val="00B47113"/>
    <w:rsid w:val="00B47982"/>
    <w:rsid w:val="00B47B0A"/>
    <w:rsid w:val="00B503F0"/>
    <w:rsid w:val="00B5085B"/>
    <w:rsid w:val="00B50993"/>
    <w:rsid w:val="00B60139"/>
    <w:rsid w:val="00B6085C"/>
    <w:rsid w:val="00B618AE"/>
    <w:rsid w:val="00B621A5"/>
    <w:rsid w:val="00B62A26"/>
    <w:rsid w:val="00B63C83"/>
    <w:rsid w:val="00B63D58"/>
    <w:rsid w:val="00B63D61"/>
    <w:rsid w:val="00B63FD1"/>
    <w:rsid w:val="00B647AC"/>
    <w:rsid w:val="00B64B7E"/>
    <w:rsid w:val="00B67E83"/>
    <w:rsid w:val="00B7007F"/>
    <w:rsid w:val="00B72629"/>
    <w:rsid w:val="00B72D81"/>
    <w:rsid w:val="00B732FC"/>
    <w:rsid w:val="00B746E2"/>
    <w:rsid w:val="00B74911"/>
    <w:rsid w:val="00B74A10"/>
    <w:rsid w:val="00B75B28"/>
    <w:rsid w:val="00B763B5"/>
    <w:rsid w:val="00B803ED"/>
    <w:rsid w:val="00B84057"/>
    <w:rsid w:val="00B84736"/>
    <w:rsid w:val="00B86281"/>
    <w:rsid w:val="00B8727E"/>
    <w:rsid w:val="00B91128"/>
    <w:rsid w:val="00B91422"/>
    <w:rsid w:val="00B9143F"/>
    <w:rsid w:val="00B92557"/>
    <w:rsid w:val="00B92D30"/>
    <w:rsid w:val="00B94F6E"/>
    <w:rsid w:val="00B95F9A"/>
    <w:rsid w:val="00B96AB9"/>
    <w:rsid w:val="00B976CA"/>
    <w:rsid w:val="00BA0427"/>
    <w:rsid w:val="00BA0632"/>
    <w:rsid w:val="00BA27A3"/>
    <w:rsid w:val="00BA355D"/>
    <w:rsid w:val="00BA6945"/>
    <w:rsid w:val="00BB26B0"/>
    <w:rsid w:val="00BB5607"/>
    <w:rsid w:val="00BB687B"/>
    <w:rsid w:val="00BB755E"/>
    <w:rsid w:val="00BC004C"/>
    <w:rsid w:val="00BC0BF6"/>
    <w:rsid w:val="00BC0D8C"/>
    <w:rsid w:val="00BC32FD"/>
    <w:rsid w:val="00BC55DB"/>
    <w:rsid w:val="00BC790E"/>
    <w:rsid w:val="00BC7995"/>
    <w:rsid w:val="00BD0189"/>
    <w:rsid w:val="00BD0471"/>
    <w:rsid w:val="00BD250C"/>
    <w:rsid w:val="00BD40AE"/>
    <w:rsid w:val="00BD53BB"/>
    <w:rsid w:val="00BD7365"/>
    <w:rsid w:val="00BD79B8"/>
    <w:rsid w:val="00BE06E3"/>
    <w:rsid w:val="00BE103D"/>
    <w:rsid w:val="00BE132C"/>
    <w:rsid w:val="00BE1B90"/>
    <w:rsid w:val="00BE2BB1"/>
    <w:rsid w:val="00BE514A"/>
    <w:rsid w:val="00BE6632"/>
    <w:rsid w:val="00BF0A80"/>
    <w:rsid w:val="00BF1A87"/>
    <w:rsid w:val="00BF2545"/>
    <w:rsid w:val="00BF3C93"/>
    <w:rsid w:val="00BF44C6"/>
    <w:rsid w:val="00BF5BEB"/>
    <w:rsid w:val="00BF6092"/>
    <w:rsid w:val="00BF785C"/>
    <w:rsid w:val="00C00676"/>
    <w:rsid w:val="00C00E28"/>
    <w:rsid w:val="00C00FF7"/>
    <w:rsid w:val="00C01662"/>
    <w:rsid w:val="00C028EE"/>
    <w:rsid w:val="00C030AC"/>
    <w:rsid w:val="00C036A7"/>
    <w:rsid w:val="00C042E2"/>
    <w:rsid w:val="00C04A21"/>
    <w:rsid w:val="00C05A76"/>
    <w:rsid w:val="00C0602A"/>
    <w:rsid w:val="00C062A0"/>
    <w:rsid w:val="00C06C25"/>
    <w:rsid w:val="00C077EC"/>
    <w:rsid w:val="00C121D1"/>
    <w:rsid w:val="00C1399C"/>
    <w:rsid w:val="00C15803"/>
    <w:rsid w:val="00C17114"/>
    <w:rsid w:val="00C17234"/>
    <w:rsid w:val="00C245D7"/>
    <w:rsid w:val="00C24803"/>
    <w:rsid w:val="00C3057D"/>
    <w:rsid w:val="00C30D72"/>
    <w:rsid w:val="00C349D9"/>
    <w:rsid w:val="00C35579"/>
    <w:rsid w:val="00C37CDC"/>
    <w:rsid w:val="00C410B6"/>
    <w:rsid w:val="00C41FF6"/>
    <w:rsid w:val="00C43E4E"/>
    <w:rsid w:val="00C44C3A"/>
    <w:rsid w:val="00C45F4C"/>
    <w:rsid w:val="00C46128"/>
    <w:rsid w:val="00C476E2"/>
    <w:rsid w:val="00C5169A"/>
    <w:rsid w:val="00C51832"/>
    <w:rsid w:val="00C51ED0"/>
    <w:rsid w:val="00C53802"/>
    <w:rsid w:val="00C55810"/>
    <w:rsid w:val="00C55963"/>
    <w:rsid w:val="00C5717D"/>
    <w:rsid w:val="00C57B1F"/>
    <w:rsid w:val="00C57E41"/>
    <w:rsid w:val="00C6126D"/>
    <w:rsid w:val="00C61B32"/>
    <w:rsid w:val="00C62B73"/>
    <w:rsid w:val="00C633DC"/>
    <w:rsid w:val="00C65740"/>
    <w:rsid w:val="00C65E95"/>
    <w:rsid w:val="00C70241"/>
    <w:rsid w:val="00C71D02"/>
    <w:rsid w:val="00C72761"/>
    <w:rsid w:val="00C739ED"/>
    <w:rsid w:val="00C7442F"/>
    <w:rsid w:val="00C7480B"/>
    <w:rsid w:val="00C75A3D"/>
    <w:rsid w:val="00C77241"/>
    <w:rsid w:val="00C80130"/>
    <w:rsid w:val="00C83EE1"/>
    <w:rsid w:val="00C84208"/>
    <w:rsid w:val="00C85434"/>
    <w:rsid w:val="00C859E0"/>
    <w:rsid w:val="00C869EC"/>
    <w:rsid w:val="00C872C1"/>
    <w:rsid w:val="00C900DE"/>
    <w:rsid w:val="00C90158"/>
    <w:rsid w:val="00C90B25"/>
    <w:rsid w:val="00C93104"/>
    <w:rsid w:val="00C9314B"/>
    <w:rsid w:val="00C93FFB"/>
    <w:rsid w:val="00C95FB3"/>
    <w:rsid w:val="00C96900"/>
    <w:rsid w:val="00C97904"/>
    <w:rsid w:val="00CA0313"/>
    <w:rsid w:val="00CA0C9D"/>
    <w:rsid w:val="00CA1A13"/>
    <w:rsid w:val="00CA2E21"/>
    <w:rsid w:val="00CA3426"/>
    <w:rsid w:val="00CA42EE"/>
    <w:rsid w:val="00CA44C5"/>
    <w:rsid w:val="00CA73AF"/>
    <w:rsid w:val="00CB0780"/>
    <w:rsid w:val="00CB0FF8"/>
    <w:rsid w:val="00CB1C77"/>
    <w:rsid w:val="00CB25F6"/>
    <w:rsid w:val="00CB2ED8"/>
    <w:rsid w:val="00CB367C"/>
    <w:rsid w:val="00CB50C4"/>
    <w:rsid w:val="00CB6557"/>
    <w:rsid w:val="00CB7BBB"/>
    <w:rsid w:val="00CC173C"/>
    <w:rsid w:val="00CC1BB2"/>
    <w:rsid w:val="00CC44BF"/>
    <w:rsid w:val="00CC716F"/>
    <w:rsid w:val="00CC7B02"/>
    <w:rsid w:val="00CD1E6F"/>
    <w:rsid w:val="00CD3EE2"/>
    <w:rsid w:val="00CD4648"/>
    <w:rsid w:val="00CD6A84"/>
    <w:rsid w:val="00CD7375"/>
    <w:rsid w:val="00CE0B05"/>
    <w:rsid w:val="00CE2073"/>
    <w:rsid w:val="00CE2F72"/>
    <w:rsid w:val="00CE5A86"/>
    <w:rsid w:val="00CE5C8B"/>
    <w:rsid w:val="00CF307B"/>
    <w:rsid w:val="00CF37ED"/>
    <w:rsid w:val="00CF3B55"/>
    <w:rsid w:val="00CF3BEA"/>
    <w:rsid w:val="00CF4197"/>
    <w:rsid w:val="00CF5637"/>
    <w:rsid w:val="00CF6825"/>
    <w:rsid w:val="00CF7D12"/>
    <w:rsid w:val="00D00995"/>
    <w:rsid w:val="00D01E16"/>
    <w:rsid w:val="00D05F45"/>
    <w:rsid w:val="00D06F9C"/>
    <w:rsid w:val="00D126E8"/>
    <w:rsid w:val="00D137FA"/>
    <w:rsid w:val="00D1394F"/>
    <w:rsid w:val="00D13D98"/>
    <w:rsid w:val="00D14788"/>
    <w:rsid w:val="00D149CD"/>
    <w:rsid w:val="00D151D9"/>
    <w:rsid w:val="00D155AB"/>
    <w:rsid w:val="00D15FDD"/>
    <w:rsid w:val="00D167AC"/>
    <w:rsid w:val="00D16F23"/>
    <w:rsid w:val="00D21CC3"/>
    <w:rsid w:val="00D21E6A"/>
    <w:rsid w:val="00D220E7"/>
    <w:rsid w:val="00D238C2"/>
    <w:rsid w:val="00D269EB"/>
    <w:rsid w:val="00D270B9"/>
    <w:rsid w:val="00D272EB"/>
    <w:rsid w:val="00D27D59"/>
    <w:rsid w:val="00D30246"/>
    <w:rsid w:val="00D30BBF"/>
    <w:rsid w:val="00D31DD3"/>
    <w:rsid w:val="00D33664"/>
    <w:rsid w:val="00D342E0"/>
    <w:rsid w:val="00D35BD6"/>
    <w:rsid w:val="00D36256"/>
    <w:rsid w:val="00D37668"/>
    <w:rsid w:val="00D42DAE"/>
    <w:rsid w:val="00D42F59"/>
    <w:rsid w:val="00D431AA"/>
    <w:rsid w:val="00D431D3"/>
    <w:rsid w:val="00D4389A"/>
    <w:rsid w:val="00D4504F"/>
    <w:rsid w:val="00D457DE"/>
    <w:rsid w:val="00D4596B"/>
    <w:rsid w:val="00D46723"/>
    <w:rsid w:val="00D47782"/>
    <w:rsid w:val="00D51F13"/>
    <w:rsid w:val="00D52AD6"/>
    <w:rsid w:val="00D55681"/>
    <w:rsid w:val="00D559DD"/>
    <w:rsid w:val="00D572F1"/>
    <w:rsid w:val="00D57A1A"/>
    <w:rsid w:val="00D614C6"/>
    <w:rsid w:val="00D61FBF"/>
    <w:rsid w:val="00D62ECE"/>
    <w:rsid w:val="00D631F9"/>
    <w:rsid w:val="00D63243"/>
    <w:rsid w:val="00D63699"/>
    <w:rsid w:val="00D63935"/>
    <w:rsid w:val="00D63A20"/>
    <w:rsid w:val="00D64D1F"/>
    <w:rsid w:val="00D651AB"/>
    <w:rsid w:val="00D65585"/>
    <w:rsid w:val="00D66369"/>
    <w:rsid w:val="00D67797"/>
    <w:rsid w:val="00D71CA3"/>
    <w:rsid w:val="00D73592"/>
    <w:rsid w:val="00D74048"/>
    <w:rsid w:val="00D74D1D"/>
    <w:rsid w:val="00D7559D"/>
    <w:rsid w:val="00D75E08"/>
    <w:rsid w:val="00D76654"/>
    <w:rsid w:val="00D76BE4"/>
    <w:rsid w:val="00D772FF"/>
    <w:rsid w:val="00D77FB8"/>
    <w:rsid w:val="00D80EC9"/>
    <w:rsid w:val="00D814FA"/>
    <w:rsid w:val="00D83BA1"/>
    <w:rsid w:val="00D84236"/>
    <w:rsid w:val="00D848FD"/>
    <w:rsid w:val="00D84DDE"/>
    <w:rsid w:val="00D91AFF"/>
    <w:rsid w:val="00D9257B"/>
    <w:rsid w:val="00D93536"/>
    <w:rsid w:val="00D96269"/>
    <w:rsid w:val="00D9634C"/>
    <w:rsid w:val="00D96382"/>
    <w:rsid w:val="00DA004F"/>
    <w:rsid w:val="00DA01D1"/>
    <w:rsid w:val="00DA0961"/>
    <w:rsid w:val="00DA1DB4"/>
    <w:rsid w:val="00DA289A"/>
    <w:rsid w:val="00DA2A6D"/>
    <w:rsid w:val="00DA2D6F"/>
    <w:rsid w:val="00DA32AA"/>
    <w:rsid w:val="00DA383D"/>
    <w:rsid w:val="00DA414B"/>
    <w:rsid w:val="00DA4E47"/>
    <w:rsid w:val="00DA62D0"/>
    <w:rsid w:val="00DA6CF4"/>
    <w:rsid w:val="00DA7155"/>
    <w:rsid w:val="00DA7A58"/>
    <w:rsid w:val="00DA7CDB"/>
    <w:rsid w:val="00DB01D9"/>
    <w:rsid w:val="00DB0F4F"/>
    <w:rsid w:val="00DB14F1"/>
    <w:rsid w:val="00DB1E8E"/>
    <w:rsid w:val="00DB2273"/>
    <w:rsid w:val="00DB5419"/>
    <w:rsid w:val="00DB5933"/>
    <w:rsid w:val="00DB70F7"/>
    <w:rsid w:val="00DC0223"/>
    <w:rsid w:val="00DC03B2"/>
    <w:rsid w:val="00DC19AE"/>
    <w:rsid w:val="00DC225D"/>
    <w:rsid w:val="00DC3E16"/>
    <w:rsid w:val="00DC6263"/>
    <w:rsid w:val="00DC643D"/>
    <w:rsid w:val="00DD02EE"/>
    <w:rsid w:val="00DD0E36"/>
    <w:rsid w:val="00DD150D"/>
    <w:rsid w:val="00DD407A"/>
    <w:rsid w:val="00DE0437"/>
    <w:rsid w:val="00DE180B"/>
    <w:rsid w:val="00DE1860"/>
    <w:rsid w:val="00DE308A"/>
    <w:rsid w:val="00DE48E9"/>
    <w:rsid w:val="00DE5B69"/>
    <w:rsid w:val="00DE7F0F"/>
    <w:rsid w:val="00DF006C"/>
    <w:rsid w:val="00DF26D9"/>
    <w:rsid w:val="00DF54EF"/>
    <w:rsid w:val="00DF5C83"/>
    <w:rsid w:val="00DF67EF"/>
    <w:rsid w:val="00E016E7"/>
    <w:rsid w:val="00E04D39"/>
    <w:rsid w:val="00E04FA4"/>
    <w:rsid w:val="00E05302"/>
    <w:rsid w:val="00E0577D"/>
    <w:rsid w:val="00E060A9"/>
    <w:rsid w:val="00E11AF1"/>
    <w:rsid w:val="00E12078"/>
    <w:rsid w:val="00E124AB"/>
    <w:rsid w:val="00E14B9D"/>
    <w:rsid w:val="00E1506B"/>
    <w:rsid w:val="00E16AD3"/>
    <w:rsid w:val="00E17032"/>
    <w:rsid w:val="00E214DE"/>
    <w:rsid w:val="00E238D4"/>
    <w:rsid w:val="00E23B8B"/>
    <w:rsid w:val="00E24F0E"/>
    <w:rsid w:val="00E26688"/>
    <w:rsid w:val="00E26945"/>
    <w:rsid w:val="00E26F1D"/>
    <w:rsid w:val="00E3057D"/>
    <w:rsid w:val="00E32A0A"/>
    <w:rsid w:val="00E32DCC"/>
    <w:rsid w:val="00E34BE2"/>
    <w:rsid w:val="00E366E0"/>
    <w:rsid w:val="00E374F3"/>
    <w:rsid w:val="00E37DAC"/>
    <w:rsid w:val="00E411C5"/>
    <w:rsid w:val="00E41FD8"/>
    <w:rsid w:val="00E45364"/>
    <w:rsid w:val="00E45E9E"/>
    <w:rsid w:val="00E51F35"/>
    <w:rsid w:val="00E52A07"/>
    <w:rsid w:val="00E53F54"/>
    <w:rsid w:val="00E54144"/>
    <w:rsid w:val="00E54A54"/>
    <w:rsid w:val="00E57FA5"/>
    <w:rsid w:val="00E6048B"/>
    <w:rsid w:val="00E61FB6"/>
    <w:rsid w:val="00E63ACD"/>
    <w:rsid w:val="00E64F8F"/>
    <w:rsid w:val="00E65460"/>
    <w:rsid w:val="00E66572"/>
    <w:rsid w:val="00E74756"/>
    <w:rsid w:val="00E74822"/>
    <w:rsid w:val="00E77BBF"/>
    <w:rsid w:val="00E8017C"/>
    <w:rsid w:val="00E821E8"/>
    <w:rsid w:val="00E8232A"/>
    <w:rsid w:val="00E84D81"/>
    <w:rsid w:val="00E8793B"/>
    <w:rsid w:val="00E907EA"/>
    <w:rsid w:val="00E9127D"/>
    <w:rsid w:val="00E91C85"/>
    <w:rsid w:val="00E92204"/>
    <w:rsid w:val="00E92BEF"/>
    <w:rsid w:val="00E93C3E"/>
    <w:rsid w:val="00E93DD7"/>
    <w:rsid w:val="00E94C46"/>
    <w:rsid w:val="00EA1DB1"/>
    <w:rsid w:val="00EA1EED"/>
    <w:rsid w:val="00EA3C45"/>
    <w:rsid w:val="00EA41E2"/>
    <w:rsid w:val="00EA47F3"/>
    <w:rsid w:val="00EA4FD9"/>
    <w:rsid w:val="00EA6764"/>
    <w:rsid w:val="00EA6797"/>
    <w:rsid w:val="00EA7809"/>
    <w:rsid w:val="00EA7D08"/>
    <w:rsid w:val="00EB3380"/>
    <w:rsid w:val="00EB4FCF"/>
    <w:rsid w:val="00EB53A8"/>
    <w:rsid w:val="00EB666B"/>
    <w:rsid w:val="00EC32C3"/>
    <w:rsid w:val="00EC3549"/>
    <w:rsid w:val="00EC5396"/>
    <w:rsid w:val="00EC57EA"/>
    <w:rsid w:val="00EC60A3"/>
    <w:rsid w:val="00EC7616"/>
    <w:rsid w:val="00ED008C"/>
    <w:rsid w:val="00ED326C"/>
    <w:rsid w:val="00ED418B"/>
    <w:rsid w:val="00ED5119"/>
    <w:rsid w:val="00ED559A"/>
    <w:rsid w:val="00ED635B"/>
    <w:rsid w:val="00ED7409"/>
    <w:rsid w:val="00ED7AEB"/>
    <w:rsid w:val="00ED7CED"/>
    <w:rsid w:val="00ED7E8E"/>
    <w:rsid w:val="00EE0770"/>
    <w:rsid w:val="00EE0A8F"/>
    <w:rsid w:val="00EE2B36"/>
    <w:rsid w:val="00EE2D9A"/>
    <w:rsid w:val="00EE451A"/>
    <w:rsid w:val="00EE479B"/>
    <w:rsid w:val="00EE4D5A"/>
    <w:rsid w:val="00EE4DF9"/>
    <w:rsid w:val="00EE5624"/>
    <w:rsid w:val="00EE5C8A"/>
    <w:rsid w:val="00EE5ED0"/>
    <w:rsid w:val="00EE5FCD"/>
    <w:rsid w:val="00EE652A"/>
    <w:rsid w:val="00EE6A1E"/>
    <w:rsid w:val="00EF2546"/>
    <w:rsid w:val="00EF4738"/>
    <w:rsid w:val="00EF6F82"/>
    <w:rsid w:val="00EF7A00"/>
    <w:rsid w:val="00F00F35"/>
    <w:rsid w:val="00F037ED"/>
    <w:rsid w:val="00F05BC4"/>
    <w:rsid w:val="00F07D44"/>
    <w:rsid w:val="00F10F86"/>
    <w:rsid w:val="00F11711"/>
    <w:rsid w:val="00F1171F"/>
    <w:rsid w:val="00F117E5"/>
    <w:rsid w:val="00F12E63"/>
    <w:rsid w:val="00F13CD9"/>
    <w:rsid w:val="00F14F2E"/>
    <w:rsid w:val="00F20502"/>
    <w:rsid w:val="00F21854"/>
    <w:rsid w:val="00F22794"/>
    <w:rsid w:val="00F23A89"/>
    <w:rsid w:val="00F23FB4"/>
    <w:rsid w:val="00F26016"/>
    <w:rsid w:val="00F269A0"/>
    <w:rsid w:val="00F26C99"/>
    <w:rsid w:val="00F27928"/>
    <w:rsid w:val="00F315BF"/>
    <w:rsid w:val="00F328AA"/>
    <w:rsid w:val="00F3305E"/>
    <w:rsid w:val="00F340CB"/>
    <w:rsid w:val="00F369F3"/>
    <w:rsid w:val="00F4093A"/>
    <w:rsid w:val="00F4458A"/>
    <w:rsid w:val="00F45961"/>
    <w:rsid w:val="00F473A4"/>
    <w:rsid w:val="00F479CA"/>
    <w:rsid w:val="00F508F9"/>
    <w:rsid w:val="00F50E56"/>
    <w:rsid w:val="00F512C4"/>
    <w:rsid w:val="00F51CFF"/>
    <w:rsid w:val="00F525CD"/>
    <w:rsid w:val="00F52FA8"/>
    <w:rsid w:val="00F53C45"/>
    <w:rsid w:val="00F54805"/>
    <w:rsid w:val="00F557D2"/>
    <w:rsid w:val="00F57A6A"/>
    <w:rsid w:val="00F60590"/>
    <w:rsid w:val="00F60D54"/>
    <w:rsid w:val="00F61055"/>
    <w:rsid w:val="00F611BE"/>
    <w:rsid w:val="00F61350"/>
    <w:rsid w:val="00F61E74"/>
    <w:rsid w:val="00F63770"/>
    <w:rsid w:val="00F63D9F"/>
    <w:rsid w:val="00F65519"/>
    <w:rsid w:val="00F655A9"/>
    <w:rsid w:val="00F66CB5"/>
    <w:rsid w:val="00F6725D"/>
    <w:rsid w:val="00F7057F"/>
    <w:rsid w:val="00F727F5"/>
    <w:rsid w:val="00F74B39"/>
    <w:rsid w:val="00F74DFC"/>
    <w:rsid w:val="00F751AE"/>
    <w:rsid w:val="00F75295"/>
    <w:rsid w:val="00F77556"/>
    <w:rsid w:val="00F8031C"/>
    <w:rsid w:val="00F80A91"/>
    <w:rsid w:val="00F84D33"/>
    <w:rsid w:val="00F865D1"/>
    <w:rsid w:val="00F87A27"/>
    <w:rsid w:val="00F90473"/>
    <w:rsid w:val="00F90ABD"/>
    <w:rsid w:val="00F91AF6"/>
    <w:rsid w:val="00F92E6E"/>
    <w:rsid w:val="00F93252"/>
    <w:rsid w:val="00F93F9A"/>
    <w:rsid w:val="00F940F9"/>
    <w:rsid w:val="00F9423B"/>
    <w:rsid w:val="00F945CE"/>
    <w:rsid w:val="00F9573D"/>
    <w:rsid w:val="00F96DEC"/>
    <w:rsid w:val="00F97157"/>
    <w:rsid w:val="00FA09F5"/>
    <w:rsid w:val="00FA4DC5"/>
    <w:rsid w:val="00FA650B"/>
    <w:rsid w:val="00FB098A"/>
    <w:rsid w:val="00FB0C84"/>
    <w:rsid w:val="00FB0DCF"/>
    <w:rsid w:val="00FB1A6B"/>
    <w:rsid w:val="00FB2241"/>
    <w:rsid w:val="00FB22F8"/>
    <w:rsid w:val="00FB2366"/>
    <w:rsid w:val="00FB246A"/>
    <w:rsid w:val="00FB3946"/>
    <w:rsid w:val="00FB4B7B"/>
    <w:rsid w:val="00FB5C24"/>
    <w:rsid w:val="00FB5C65"/>
    <w:rsid w:val="00FB5C87"/>
    <w:rsid w:val="00FB637E"/>
    <w:rsid w:val="00FB63EE"/>
    <w:rsid w:val="00FB6C13"/>
    <w:rsid w:val="00FB71FB"/>
    <w:rsid w:val="00FC0D89"/>
    <w:rsid w:val="00FC2B52"/>
    <w:rsid w:val="00FC3446"/>
    <w:rsid w:val="00FC34FD"/>
    <w:rsid w:val="00FC391D"/>
    <w:rsid w:val="00FC48D4"/>
    <w:rsid w:val="00FC4CB6"/>
    <w:rsid w:val="00FC6020"/>
    <w:rsid w:val="00FC61D4"/>
    <w:rsid w:val="00FD0281"/>
    <w:rsid w:val="00FD39F7"/>
    <w:rsid w:val="00FD3AE7"/>
    <w:rsid w:val="00FD5AAF"/>
    <w:rsid w:val="00FD6EDB"/>
    <w:rsid w:val="00FD6EF4"/>
    <w:rsid w:val="00FE100C"/>
    <w:rsid w:val="00FE12C5"/>
    <w:rsid w:val="00FE131A"/>
    <w:rsid w:val="00FE39FE"/>
    <w:rsid w:val="00FE62BC"/>
    <w:rsid w:val="00FE730B"/>
    <w:rsid w:val="00FE7624"/>
    <w:rsid w:val="00FF2D55"/>
    <w:rsid w:val="00FF54D5"/>
    <w:rsid w:val="00FF73DF"/>
    <w:rsid w:val="20006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200" w:firstLineChars="200"/>
      <w:jc w:val="both"/>
    </w:pPr>
    <w:rPr>
      <w:rFonts w:ascii="Arial" w:hAnsi="Arial" w:eastAsia="宋体" w:cs="Times New Roman (正文 CS 字体)"/>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numPr>
        <w:ilvl w:val="1"/>
        <w:numId w:val="1"/>
      </w:numPr>
      <w:spacing w:before="326" w:beforeLines="100" w:after="326" w:afterLines="100" w:line="360" w:lineRule="auto"/>
      <w:ind w:firstLine="0" w:firstLineChars="0"/>
      <w:jc w:val="left"/>
      <w:outlineLvl w:val="1"/>
    </w:pPr>
    <w:rPr>
      <w:rFonts w:eastAsia="黑体" w:cstheme="majorBidi"/>
      <w:b/>
      <w:bCs/>
      <w:szCs w:val="32"/>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pPr>
      <w:spacing w:line="360" w:lineRule="auto"/>
      <w:ind w:firstLine="0" w:firstLineChars="0"/>
    </w:pPr>
    <w:rPr>
      <w:rFonts w:eastAsia="Arial" w:cstheme="majorBidi"/>
      <w:sz w:val="21"/>
      <w:szCs w:val="20"/>
    </w:rPr>
  </w:style>
  <w:style w:type="paragraph" w:styleId="5">
    <w:name w:val="annotation text"/>
    <w:basedOn w:val="1"/>
    <w:link w:val="22"/>
    <w:semiHidden/>
    <w:unhideWhenUsed/>
    <w:uiPriority w:val="99"/>
    <w:pPr>
      <w:jc w:val="left"/>
    </w:pPr>
  </w:style>
  <w:style w:type="paragraph" w:styleId="6">
    <w:name w:val="Balloon Text"/>
    <w:basedOn w:val="1"/>
    <w:link w:val="16"/>
    <w:semiHidden/>
    <w:unhideWhenUsed/>
    <w:uiPriority w:val="99"/>
    <w:pPr>
      <w:spacing w:line="240" w:lineRule="auto"/>
      <w:ind w:firstLine="0" w:firstLineChars="0"/>
    </w:pPr>
    <w:rPr>
      <w:rFonts w:ascii="宋体" w:hAnsiTheme="minorHAnsi" w:cstheme="minorBidi"/>
      <w:sz w:val="18"/>
      <w:szCs w:val="18"/>
    </w:rPr>
  </w:style>
  <w:style w:type="paragraph" w:styleId="7">
    <w:name w:val="footer"/>
    <w:basedOn w:val="1"/>
    <w:link w:val="29"/>
    <w:unhideWhenUsed/>
    <w:uiPriority w:val="99"/>
    <w:pPr>
      <w:tabs>
        <w:tab w:val="center" w:pos="4153"/>
        <w:tab w:val="right" w:pos="8306"/>
      </w:tabs>
      <w:snapToGrid w:val="0"/>
      <w:spacing w:line="240" w:lineRule="auto"/>
      <w:jc w:val="left"/>
    </w:pPr>
    <w:rPr>
      <w:sz w:val="18"/>
      <w:szCs w:val="18"/>
    </w:rPr>
  </w:style>
  <w:style w:type="paragraph" w:styleId="8">
    <w:name w:val="header"/>
    <w:basedOn w:val="1"/>
    <w:link w:val="28"/>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annotation subject"/>
    <w:basedOn w:val="5"/>
    <w:next w:val="5"/>
    <w:link w:val="23"/>
    <w:semiHidden/>
    <w:unhideWhenUsed/>
    <w:uiPriority w:val="99"/>
    <w:rPr>
      <w:b/>
      <w:bCs/>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line number"/>
    <w:basedOn w:val="12"/>
    <w:semiHidden/>
    <w:unhideWhenUsed/>
    <w:uiPriority w:val="99"/>
  </w:style>
  <w:style w:type="character" w:styleId="14">
    <w:name w:val="Hyperlink"/>
    <w:basedOn w:val="12"/>
    <w:unhideWhenUsed/>
    <w:uiPriority w:val="99"/>
    <w:rPr>
      <w:color w:val="0563C1" w:themeColor="hyperlink"/>
      <w:u w:val="single"/>
      <w14:textFill>
        <w14:solidFill>
          <w14:schemeClr w14:val="hlink"/>
        </w14:solidFill>
      </w14:textFill>
    </w:rPr>
  </w:style>
  <w:style w:type="character" w:styleId="15">
    <w:name w:val="annotation reference"/>
    <w:basedOn w:val="12"/>
    <w:semiHidden/>
    <w:unhideWhenUsed/>
    <w:uiPriority w:val="99"/>
    <w:rPr>
      <w:sz w:val="21"/>
      <w:szCs w:val="21"/>
    </w:rPr>
  </w:style>
  <w:style w:type="character" w:customStyle="1" w:styleId="16">
    <w:name w:val="批注框文本 Char"/>
    <w:basedOn w:val="12"/>
    <w:link w:val="6"/>
    <w:semiHidden/>
    <w:uiPriority w:val="99"/>
    <w:rPr>
      <w:rFonts w:ascii="宋体" w:eastAsia="宋体"/>
      <w:sz w:val="18"/>
      <w:szCs w:val="18"/>
    </w:rPr>
  </w:style>
  <w:style w:type="character" w:customStyle="1" w:styleId="17">
    <w:name w:val="Unresolved Mention"/>
    <w:basedOn w:val="12"/>
    <w:semiHidden/>
    <w:unhideWhenUsed/>
    <w:uiPriority w:val="99"/>
    <w:rPr>
      <w:color w:val="605E5C"/>
      <w:shd w:val="clear" w:color="auto" w:fill="E1DFDD"/>
    </w:rPr>
  </w:style>
  <w:style w:type="paragraph" w:styleId="18">
    <w:name w:val="List Paragraph"/>
    <w:basedOn w:val="1"/>
    <w:qFormat/>
    <w:uiPriority w:val="34"/>
    <w:pPr>
      <w:ind w:firstLine="420"/>
    </w:pPr>
  </w:style>
  <w:style w:type="character" w:customStyle="1" w:styleId="19">
    <w:name w:val="标题 2 Char"/>
    <w:basedOn w:val="12"/>
    <w:link w:val="3"/>
    <w:uiPriority w:val="9"/>
    <w:rPr>
      <w:rFonts w:ascii="Arial" w:hAnsi="Arial" w:eastAsia="黑体" w:cstheme="majorBidi"/>
      <w:b/>
      <w:bCs/>
      <w:sz w:val="24"/>
      <w:szCs w:val="32"/>
    </w:rPr>
  </w:style>
  <w:style w:type="character" w:customStyle="1" w:styleId="20">
    <w:name w:val="标题 1 Char"/>
    <w:basedOn w:val="12"/>
    <w:link w:val="2"/>
    <w:uiPriority w:val="9"/>
    <w:rPr>
      <w:rFonts w:ascii="Arial" w:hAnsi="Arial" w:eastAsia="宋体" w:cs="Times New Roman (正文 CS 字体)"/>
      <w:b/>
      <w:bCs/>
      <w:kern w:val="44"/>
      <w:sz w:val="44"/>
      <w:szCs w:val="44"/>
    </w:rPr>
  </w:style>
  <w:style w:type="character" w:customStyle="1" w:styleId="21">
    <w:name w:val="批注文字 字符"/>
    <w:basedOn w:val="12"/>
    <w:semiHidden/>
    <w:uiPriority w:val="99"/>
    <w:rPr>
      <w:rFonts w:ascii="Arial" w:hAnsi="Arial" w:eastAsia="宋体" w:cs="Times New Roman (正文 CS 字体)"/>
      <w:sz w:val="24"/>
      <w:szCs w:val="22"/>
    </w:rPr>
  </w:style>
  <w:style w:type="character" w:customStyle="1" w:styleId="22">
    <w:name w:val="批注文字 Char"/>
    <w:basedOn w:val="12"/>
    <w:link w:val="5"/>
    <w:semiHidden/>
    <w:uiPriority w:val="99"/>
    <w:rPr>
      <w:rFonts w:ascii="Arial" w:hAnsi="Arial" w:eastAsia="宋体" w:cs="Times New Roman (正文 CS 字体)"/>
      <w:sz w:val="24"/>
      <w:szCs w:val="22"/>
    </w:rPr>
  </w:style>
  <w:style w:type="character" w:customStyle="1" w:styleId="23">
    <w:name w:val="批注主题 Char"/>
    <w:basedOn w:val="22"/>
    <w:link w:val="9"/>
    <w:semiHidden/>
    <w:uiPriority w:val="99"/>
    <w:rPr>
      <w:rFonts w:ascii="Arial" w:hAnsi="Arial" w:eastAsia="宋体" w:cs="Times New Roman (正文 CS 字体)"/>
      <w:b/>
      <w:bCs/>
      <w:sz w:val="24"/>
      <w:szCs w:val="22"/>
    </w:rPr>
  </w:style>
  <w:style w:type="paragraph" w:customStyle="1" w:styleId="24">
    <w:name w:val="EndNote Bibliography"/>
    <w:basedOn w:val="1"/>
    <w:link w:val="25"/>
    <w:uiPriority w:val="0"/>
    <w:pPr>
      <w:spacing w:line="240" w:lineRule="auto"/>
    </w:pPr>
    <w:rPr>
      <w:rFonts w:ascii="Times New Roman" w:hAnsi="Times New Roman" w:cs="Times New Roman"/>
    </w:rPr>
  </w:style>
  <w:style w:type="character" w:customStyle="1" w:styleId="25">
    <w:name w:val="EndNote Bibliography 字符"/>
    <w:basedOn w:val="12"/>
    <w:link w:val="24"/>
    <w:uiPriority w:val="0"/>
    <w:rPr>
      <w:rFonts w:ascii="Times New Roman" w:hAnsi="Times New Roman" w:eastAsia="宋体" w:cs="Times New Roman"/>
      <w:sz w:val="24"/>
      <w:szCs w:val="22"/>
    </w:rPr>
  </w:style>
  <w:style w:type="character" w:customStyle="1" w:styleId="26">
    <w:name w:val="a-list-item"/>
    <w:basedOn w:val="12"/>
    <w:uiPriority w:val="0"/>
  </w:style>
  <w:style w:type="paragraph" w:customStyle="1" w:styleId="27">
    <w:name w:val="Revision"/>
    <w:hidden/>
    <w:semiHidden/>
    <w:uiPriority w:val="99"/>
    <w:rPr>
      <w:rFonts w:ascii="Arial" w:hAnsi="Arial" w:eastAsia="宋体" w:cs="Times New Roman (正文 CS 字体)"/>
      <w:kern w:val="2"/>
      <w:sz w:val="24"/>
      <w:szCs w:val="22"/>
      <w:lang w:val="en-US" w:eastAsia="zh-CN" w:bidi="ar-SA"/>
    </w:rPr>
  </w:style>
  <w:style w:type="character" w:customStyle="1" w:styleId="28">
    <w:name w:val="页眉 Char"/>
    <w:basedOn w:val="12"/>
    <w:link w:val="8"/>
    <w:uiPriority w:val="99"/>
    <w:rPr>
      <w:rFonts w:ascii="Arial" w:hAnsi="Arial" w:eastAsia="宋体" w:cs="Times New Roman (正文 CS 字体)"/>
      <w:sz w:val="18"/>
      <w:szCs w:val="18"/>
    </w:rPr>
  </w:style>
  <w:style w:type="character" w:customStyle="1" w:styleId="29">
    <w:name w:val="页脚 Char"/>
    <w:basedOn w:val="12"/>
    <w:link w:val="7"/>
    <w:uiPriority w:val="99"/>
    <w:rPr>
      <w:rFonts w:ascii="Arial" w:hAnsi="Arial" w:eastAsia="宋体" w:cs="Times New Roman (正文 CS 字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9269-6539-46C2-9D2C-DF9EEF99545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3216</Words>
  <Characters>15627</Characters>
  <Lines>136</Lines>
  <Paragraphs>38</Paragraphs>
  <TotalTime>3987</TotalTime>
  <ScaleCrop>false</ScaleCrop>
  <LinksUpToDate>false</LinksUpToDate>
  <CharactersWithSpaces>18009</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2021-06-08T16:32:00Z</dcterms:created>
  <dc:creator>Liang Qing-Lin</dc:creator>
  <cp:lastModifiedBy>光＆影</cp:lastModifiedBy>
  <dcterms:modified xsi:type="dcterms:W3CDTF">2023-02-22T09:20:48Z</dcterms:modified>
  <cp:revision>446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D95433E779D74780AA4B97958B5BDC72</vt:lpwstr>
  </property>
</Properties>
</file>