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rFonts w:hint="eastAsia"/>
          <w:b/>
          <w:sz w:val="28"/>
          <w:szCs w:val="28"/>
        </w:rPr>
        <w:t>“形势与政策”课程论文</w:t>
      </w:r>
    </w:p>
    <w:tbl>
      <w:tblPr>
        <w:tblStyle w:val="4"/>
        <w:tblW w:w="90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1038"/>
        <w:gridCol w:w="238"/>
        <w:gridCol w:w="1165"/>
        <w:gridCol w:w="860"/>
        <w:gridCol w:w="379"/>
        <w:gridCol w:w="1423"/>
        <w:gridCol w:w="461"/>
        <w:gridCol w:w="2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jc w:val="center"/>
        </w:trPr>
        <w:tc>
          <w:tcPr>
            <w:tcW w:w="1224"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r>
              <w:rPr>
                <w:rFonts w:hint="eastAsia" w:ascii="仿宋" w:hAnsi="仿宋" w:eastAsia="仿宋"/>
                <w:b/>
                <w:sz w:val="24"/>
                <w:szCs w:val="24"/>
              </w:rPr>
              <w:t>姓 名</w:t>
            </w:r>
          </w:p>
        </w:tc>
        <w:tc>
          <w:tcPr>
            <w:tcW w:w="1276"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sz w:val="24"/>
                <w:szCs w:val="24"/>
                <w:lang w:val="en-US" w:eastAsia="zh-CN"/>
              </w:rPr>
            </w:pPr>
            <w:r>
              <w:rPr>
                <w:rFonts w:hint="eastAsia" w:ascii="仿宋" w:hAnsi="仿宋" w:eastAsia="仿宋"/>
                <w:b/>
                <w:sz w:val="24"/>
                <w:szCs w:val="24"/>
                <w:lang w:val="en-US" w:eastAsia="zh-CN"/>
              </w:rPr>
              <w:t>张宇</w:t>
            </w:r>
          </w:p>
        </w:tc>
        <w:tc>
          <w:tcPr>
            <w:tcW w:w="116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r>
              <w:rPr>
                <w:rFonts w:hint="eastAsia" w:ascii="仿宋" w:hAnsi="仿宋" w:eastAsia="仿宋"/>
                <w:b/>
                <w:sz w:val="24"/>
                <w:szCs w:val="24"/>
              </w:rPr>
              <w:t>学 号</w:t>
            </w:r>
          </w:p>
        </w:tc>
        <w:tc>
          <w:tcPr>
            <w:tcW w:w="1239"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仿宋" w:hAnsi="仿宋" w:eastAsia="仿宋"/>
                <w:b/>
                <w:sz w:val="24"/>
                <w:szCs w:val="24"/>
                <w:lang w:val="en-US" w:eastAsia="zh-CN"/>
              </w:rPr>
            </w:pPr>
            <w:r>
              <w:rPr>
                <w:rFonts w:hint="eastAsia" w:ascii="仿宋" w:hAnsi="仿宋" w:eastAsia="仿宋"/>
                <w:b/>
                <w:sz w:val="24"/>
                <w:szCs w:val="24"/>
                <w:lang w:val="en-US" w:eastAsia="zh-CN"/>
              </w:rPr>
              <w:t>2251745</w:t>
            </w:r>
          </w:p>
        </w:tc>
        <w:tc>
          <w:tcPr>
            <w:tcW w:w="142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r>
              <w:rPr>
                <w:rFonts w:hint="eastAsia" w:ascii="仿宋" w:hAnsi="仿宋" w:eastAsia="仿宋"/>
                <w:b/>
                <w:sz w:val="24"/>
                <w:szCs w:val="24"/>
              </w:rPr>
              <w:t>学院/专业</w:t>
            </w:r>
          </w:p>
        </w:tc>
        <w:tc>
          <w:tcPr>
            <w:tcW w:w="2724"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仿宋" w:hAnsi="仿宋" w:eastAsia="仿宋"/>
                <w:b/>
                <w:sz w:val="24"/>
                <w:szCs w:val="24"/>
                <w:lang w:val="en-US" w:eastAsia="zh-CN"/>
              </w:rPr>
            </w:pPr>
            <w:r>
              <w:rPr>
                <w:rFonts w:hint="eastAsia" w:ascii="仿宋" w:hAnsi="仿宋" w:eastAsia="仿宋"/>
                <w:b/>
                <w:sz w:val="24"/>
                <w:szCs w:val="24"/>
                <w:lang w:val="en-US" w:eastAsia="zh-CN"/>
              </w:rPr>
              <w:t>新生院济勤学堂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1224" w:type="dxa"/>
            <w:vAlign w:val="center"/>
          </w:tcPr>
          <w:p>
            <w:pPr>
              <w:jc w:val="center"/>
              <w:rPr>
                <w:rFonts w:ascii="仿宋" w:hAnsi="仿宋" w:eastAsia="仿宋"/>
                <w:b/>
                <w:sz w:val="24"/>
                <w:szCs w:val="24"/>
              </w:rPr>
            </w:pPr>
            <w:r>
              <w:rPr>
                <w:rFonts w:hint="eastAsia" w:ascii="仿宋" w:hAnsi="仿宋" w:eastAsia="仿宋"/>
                <w:b/>
                <w:sz w:val="24"/>
                <w:szCs w:val="24"/>
              </w:rPr>
              <w:t>班号</w:t>
            </w:r>
          </w:p>
        </w:tc>
        <w:tc>
          <w:tcPr>
            <w:tcW w:w="3680" w:type="dxa"/>
            <w:gridSpan w:val="5"/>
            <w:vAlign w:val="center"/>
          </w:tcPr>
          <w:p>
            <w:pPr>
              <w:jc w:val="center"/>
              <w:rPr>
                <w:rFonts w:hint="default" w:ascii="仿宋" w:hAnsi="仿宋" w:eastAsia="仿宋"/>
                <w:b/>
                <w:sz w:val="24"/>
                <w:szCs w:val="24"/>
                <w:lang w:val="en-US" w:eastAsia="zh-CN"/>
              </w:rPr>
            </w:pPr>
            <w:r>
              <w:rPr>
                <w:rFonts w:hint="eastAsia" w:ascii="仿宋" w:hAnsi="仿宋" w:eastAsia="仿宋"/>
                <w:b/>
                <w:sz w:val="24"/>
                <w:szCs w:val="24"/>
                <w:lang w:val="en-US" w:eastAsia="zh-CN"/>
              </w:rPr>
              <w:t>54010007</w:t>
            </w:r>
          </w:p>
        </w:tc>
        <w:tc>
          <w:tcPr>
            <w:tcW w:w="1423" w:type="dxa"/>
            <w:vMerge w:val="restart"/>
            <w:vAlign w:val="center"/>
          </w:tcPr>
          <w:p>
            <w:pPr>
              <w:jc w:val="center"/>
              <w:rPr>
                <w:rFonts w:ascii="仿宋" w:hAnsi="仿宋" w:eastAsia="仿宋"/>
                <w:b/>
                <w:sz w:val="24"/>
                <w:szCs w:val="24"/>
              </w:rPr>
            </w:pPr>
            <w:r>
              <w:rPr>
                <w:rFonts w:hint="eastAsia" w:ascii="仿宋" w:hAnsi="仿宋" w:eastAsia="仿宋"/>
                <w:b/>
                <w:sz w:val="24"/>
                <w:szCs w:val="24"/>
              </w:rPr>
              <w:t>教师姓名</w:t>
            </w:r>
          </w:p>
        </w:tc>
        <w:tc>
          <w:tcPr>
            <w:tcW w:w="2724" w:type="dxa"/>
            <w:gridSpan w:val="2"/>
            <w:vMerge w:val="restart"/>
            <w:vAlign w:val="center"/>
          </w:tcPr>
          <w:p>
            <w:pPr>
              <w:jc w:val="center"/>
              <w:rPr>
                <w:rFonts w:hint="eastAsia" w:ascii="仿宋" w:hAnsi="仿宋" w:eastAsia="仿宋"/>
                <w:b/>
                <w:sz w:val="24"/>
                <w:szCs w:val="24"/>
                <w:lang w:val="en-US" w:eastAsia="zh-CN"/>
              </w:rPr>
            </w:pPr>
            <w:r>
              <w:rPr>
                <w:rFonts w:hint="eastAsia" w:ascii="仿宋" w:hAnsi="仿宋" w:eastAsia="仿宋"/>
                <w:b/>
                <w:sz w:val="24"/>
                <w:szCs w:val="24"/>
                <w:lang w:val="en-US" w:eastAsia="zh-CN"/>
              </w:rPr>
              <w:t>苏娜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1224" w:type="dxa"/>
            <w:vAlign w:val="center"/>
          </w:tcPr>
          <w:p>
            <w:pPr>
              <w:jc w:val="center"/>
              <w:rPr>
                <w:rFonts w:ascii="仿宋" w:hAnsi="仿宋" w:eastAsia="仿宋"/>
                <w:b/>
                <w:sz w:val="24"/>
                <w:szCs w:val="24"/>
              </w:rPr>
            </w:pPr>
            <w:r>
              <w:rPr>
                <w:rFonts w:hint="eastAsia" w:ascii="仿宋" w:hAnsi="仿宋" w:eastAsia="仿宋"/>
                <w:b/>
                <w:sz w:val="24"/>
                <w:szCs w:val="24"/>
              </w:rPr>
              <w:t>上课时间</w:t>
            </w:r>
          </w:p>
        </w:tc>
        <w:tc>
          <w:tcPr>
            <w:tcW w:w="3680" w:type="dxa"/>
            <w:gridSpan w:val="5"/>
            <w:vAlign w:val="center"/>
          </w:tcPr>
          <w:p>
            <w:pPr>
              <w:jc w:val="center"/>
              <w:rPr>
                <w:rFonts w:hint="default" w:ascii="仿宋" w:hAnsi="仿宋" w:eastAsia="仿宋"/>
                <w:b/>
                <w:sz w:val="24"/>
                <w:szCs w:val="24"/>
                <w:lang w:val="en-US" w:eastAsia="zh-CN"/>
              </w:rPr>
            </w:pPr>
            <w:r>
              <w:rPr>
                <w:rFonts w:hint="eastAsia" w:ascii="仿宋" w:hAnsi="仿宋" w:eastAsia="仿宋"/>
                <w:b/>
                <w:sz w:val="24"/>
                <w:szCs w:val="24"/>
                <w:lang w:val="en-US" w:eastAsia="zh-CN"/>
              </w:rPr>
              <w:t>周二（7-8节）[3-6周]</w:t>
            </w:r>
          </w:p>
        </w:tc>
        <w:tc>
          <w:tcPr>
            <w:tcW w:w="1423" w:type="dxa"/>
            <w:vMerge w:val="continue"/>
            <w:vAlign w:val="center"/>
          </w:tcPr>
          <w:p>
            <w:pPr>
              <w:jc w:val="center"/>
              <w:rPr>
                <w:rFonts w:ascii="仿宋" w:hAnsi="仿宋" w:eastAsia="仿宋"/>
                <w:b/>
                <w:sz w:val="24"/>
                <w:szCs w:val="24"/>
              </w:rPr>
            </w:pPr>
          </w:p>
        </w:tc>
        <w:tc>
          <w:tcPr>
            <w:tcW w:w="2724" w:type="dxa"/>
            <w:gridSpan w:val="2"/>
            <w:vMerge w:val="continue"/>
            <w:vAlign w:val="center"/>
          </w:tcPr>
          <w:p>
            <w:pPr>
              <w:jc w:val="center"/>
              <w:rPr>
                <w:rFonts w:ascii="仿宋" w:hAnsi="仿宋" w:eastAsia="仿宋"/>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jc w:val="center"/>
        </w:trPr>
        <w:tc>
          <w:tcPr>
            <w:tcW w:w="1224" w:type="dxa"/>
            <w:vAlign w:val="center"/>
          </w:tcPr>
          <w:p>
            <w:pPr>
              <w:spacing w:line="276" w:lineRule="auto"/>
              <w:jc w:val="center"/>
              <w:rPr>
                <w:rFonts w:ascii="仿宋" w:hAnsi="仿宋" w:eastAsia="仿宋"/>
                <w:b/>
                <w:sz w:val="24"/>
                <w:szCs w:val="24"/>
              </w:rPr>
            </w:pPr>
            <w:r>
              <w:rPr>
                <w:rFonts w:hint="eastAsia" w:ascii="仿宋" w:hAnsi="仿宋" w:eastAsia="仿宋"/>
                <w:b/>
                <w:sz w:val="24"/>
                <w:szCs w:val="24"/>
              </w:rPr>
              <w:t>课程</w:t>
            </w:r>
          </w:p>
          <w:p>
            <w:pPr>
              <w:spacing w:line="276" w:lineRule="auto"/>
              <w:jc w:val="center"/>
              <w:rPr>
                <w:rFonts w:ascii="仿宋" w:hAnsi="仿宋" w:eastAsia="仿宋"/>
                <w:sz w:val="24"/>
                <w:szCs w:val="24"/>
              </w:rPr>
            </w:pPr>
            <w:r>
              <w:rPr>
                <w:rFonts w:hint="eastAsia" w:ascii="仿宋" w:hAnsi="仿宋" w:eastAsia="仿宋"/>
                <w:b/>
                <w:sz w:val="24"/>
                <w:szCs w:val="24"/>
              </w:rPr>
              <w:t>论文要求</w:t>
            </w:r>
          </w:p>
        </w:tc>
        <w:tc>
          <w:tcPr>
            <w:tcW w:w="7827" w:type="dxa"/>
            <w:gridSpan w:val="8"/>
          </w:tcPr>
          <w:p>
            <w:pPr>
              <w:spacing w:line="276" w:lineRule="auto"/>
              <w:jc w:val="left"/>
              <w:rPr>
                <w:rFonts w:ascii="Times New Roman" w:hAnsi="Times New Roman" w:eastAsia="仿宋" w:cs="Times New Roman"/>
                <w:sz w:val="24"/>
                <w:szCs w:val="24"/>
              </w:rPr>
            </w:pPr>
            <w:r>
              <w:rPr>
                <w:rFonts w:ascii="Times New Roman" w:hAnsi="Times New Roman" w:eastAsia="仿宋" w:cs="Times New Roman"/>
                <w:sz w:val="24"/>
                <w:szCs w:val="24"/>
              </w:rPr>
              <w:t>1、论文请结合所学知识，自拟标题，展开论述，诗歌、决心书、散文、口号等非论文形式的，</w:t>
            </w:r>
            <w:r>
              <w:rPr>
                <w:rFonts w:hint="eastAsia" w:ascii="Times New Roman" w:hAnsi="Times New Roman" w:eastAsia="仿宋" w:cs="Times New Roman"/>
                <w:sz w:val="24"/>
                <w:szCs w:val="24"/>
              </w:rPr>
              <w:t>未结合所学知识的，</w:t>
            </w:r>
            <w:r>
              <w:rPr>
                <w:rFonts w:ascii="Times New Roman" w:hAnsi="Times New Roman" w:eastAsia="仿宋" w:cs="Times New Roman"/>
                <w:sz w:val="24"/>
                <w:szCs w:val="24"/>
              </w:rPr>
              <w:t>均扣除30分；（30分）</w:t>
            </w:r>
          </w:p>
          <w:p>
            <w:pPr>
              <w:spacing w:line="276" w:lineRule="auto"/>
              <w:rPr>
                <w:rFonts w:ascii="Times New Roman" w:hAnsi="Times New Roman" w:eastAsia="仿宋" w:cs="Times New Roman"/>
                <w:sz w:val="24"/>
                <w:szCs w:val="24"/>
              </w:rPr>
            </w:pPr>
            <w:r>
              <w:rPr>
                <w:rFonts w:ascii="Times New Roman" w:hAnsi="Times New Roman" w:eastAsia="仿宋" w:cs="Times New Roman"/>
                <w:sz w:val="24"/>
                <w:szCs w:val="24"/>
              </w:rPr>
              <w:t>2、论文必须坚持观点正确，并做到符合基本的学术规范。（30分）</w:t>
            </w:r>
          </w:p>
          <w:p>
            <w:pPr>
              <w:spacing w:line="276" w:lineRule="auto"/>
              <w:rPr>
                <w:rFonts w:ascii="Times New Roman" w:hAnsi="Times New Roman" w:eastAsia="仿宋" w:cs="Times New Roman"/>
                <w:sz w:val="24"/>
                <w:szCs w:val="24"/>
              </w:rPr>
            </w:pPr>
            <w:r>
              <w:rPr>
                <w:rFonts w:ascii="Times New Roman" w:hAnsi="Times New Roman" w:eastAsia="仿宋" w:cs="Times New Roman"/>
                <w:sz w:val="24"/>
                <w:szCs w:val="24"/>
              </w:rPr>
              <w:t>3、论文题目、各级标题、正文的字体、字号必须为“宋体、小四号”，黑色字（不加粗）、行距1.5倍；字数不少于1000字，但不能超过二页A4纸；违反即扣除10分。（10分）</w:t>
            </w:r>
          </w:p>
          <w:p>
            <w:pPr>
              <w:spacing w:line="276" w:lineRule="auto"/>
              <w:rPr>
                <w:rFonts w:ascii="Times New Roman" w:hAnsi="Times New Roman" w:eastAsia="仿宋" w:cs="Times New Roman"/>
                <w:sz w:val="24"/>
                <w:szCs w:val="24"/>
              </w:rPr>
            </w:pPr>
            <w:r>
              <w:rPr>
                <w:rFonts w:ascii="Times New Roman" w:hAnsi="Times New Roman" w:eastAsia="仿宋" w:cs="Times New Roman"/>
                <w:sz w:val="24"/>
                <w:szCs w:val="24"/>
              </w:rPr>
              <w:t>4、论文应做到结构完整、内容论证有依据、论述展开有逻辑。（30分）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jc w:val="center"/>
        </w:trPr>
        <w:tc>
          <w:tcPr>
            <w:tcW w:w="9051" w:type="dxa"/>
            <w:gridSpan w:val="9"/>
            <w:vAlign w:val="center"/>
          </w:tcPr>
          <w:p>
            <w:pPr>
              <w:jc w:val="center"/>
              <w:rPr>
                <w:rFonts w:hint="default" w:ascii="仿宋" w:hAnsi="仿宋" w:eastAsia="仿宋"/>
                <w:b w:val="0"/>
                <w:bCs/>
                <w:sz w:val="24"/>
                <w:szCs w:val="24"/>
                <w:lang w:val="en-US" w:eastAsia="zh-CN"/>
              </w:rPr>
            </w:pPr>
            <w:r>
              <w:rPr>
                <w:rFonts w:hint="eastAsia" w:ascii="宋体" w:hAnsi="宋体" w:eastAsia="宋体" w:cs="宋体"/>
                <w:b w:val="0"/>
                <w:bCs/>
                <w:sz w:val="24"/>
                <w:szCs w:val="24"/>
                <w:lang w:val="en-US" w:eastAsia="zh-CN"/>
              </w:rPr>
              <w:t>对中国共产党第二十次全国代表大会精神的解读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88" w:hRule="atLeast"/>
          <w:jc w:val="center"/>
        </w:trPr>
        <w:tc>
          <w:tcPr>
            <w:tcW w:w="9051" w:type="dxa"/>
            <w:gridSpan w:val="9"/>
          </w:tcPr>
          <w:p>
            <w:pPr>
              <w:spacing w:line="360" w:lineRule="auto"/>
              <w:ind w:firstLine="480"/>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中国共产党第二十次全国代表大会于2022年10月在北京胜利召开。这次大会时中国共产党历史上的一次重要事件，代表了党的最新指导思想，总结了过去五年的工作经验，制定了未来五年的发展方针。本文旨在对中国共产党第二十次全国代表大会的精神进行解读和分析。</w:t>
            </w:r>
          </w:p>
          <w:p>
            <w:pPr>
              <w:numPr>
                <w:ilvl w:val="0"/>
                <w:numId w:val="1"/>
              </w:numPr>
              <w:spacing w:line="360" w:lineRule="auto"/>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宣示中国特色社会主义进入新时代</w:t>
            </w:r>
          </w:p>
          <w:p>
            <w:pPr>
              <w:numPr>
                <w:numId w:val="0"/>
              </w:numPr>
              <w:spacing w:line="360" w:lineRule="auto"/>
              <w:ind w:firstLine="480" w:firstLineChars="200"/>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中国共产党第二十次全国代表大会的一个重要宣示是中国特色社会主义进入新时代。这标志着中国已经从原有的社会主义发展阶段过渡到了新的发展阶段，中国社会主义建设也取得了历史性成就。新时代是一个继续推进中国特色社会主义伟大事业的新阶段，也是中国全面深化改革、全面扩大开放、全面建设现代化强国的新时期。</w:t>
            </w:r>
          </w:p>
          <w:p>
            <w:pPr>
              <w:numPr>
                <w:ilvl w:val="0"/>
                <w:numId w:val="1"/>
              </w:numPr>
              <w:spacing w:line="360" w:lineRule="auto"/>
              <w:rPr>
                <w:rFonts w:hint="default"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提出全面建设社会主义现代化强国的目标</w:t>
            </w:r>
          </w:p>
          <w:p>
            <w:pPr>
              <w:numPr>
                <w:numId w:val="0"/>
              </w:numPr>
              <w:spacing w:line="360" w:lineRule="auto"/>
              <w:ind w:firstLine="480" w:firstLineChars="200"/>
              <w:rPr>
                <w:rFonts w:hint="default"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中国共产党第二十次全国代表大会提出了“全面建设社会主义现代化强国”的战略目标。这是一个全面、系统、长期的工作任务，要求我们在各个领域加快现代化进程，提高国家整体实力和核心竞争力。为了实现这一目标，我们需要在持续推进创新发展，加强科技创新，优化产业结构，改革经济体制，提高人民生活水平，加强文化建设，增强国家软实力等方面采取积极有效的措施。</w:t>
            </w:r>
          </w:p>
          <w:p>
            <w:pPr>
              <w:numPr>
                <w:ilvl w:val="0"/>
                <w:numId w:val="1"/>
              </w:numPr>
              <w:spacing w:line="360" w:lineRule="auto"/>
              <w:rPr>
                <w:rFonts w:hint="default"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推进全球治理，建设人类命运共同体</w:t>
            </w:r>
          </w:p>
          <w:p>
            <w:pPr>
              <w:numPr>
                <w:numId w:val="0"/>
              </w:numPr>
              <w:spacing w:line="360" w:lineRule="auto"/>
              <w:ind w:firstLine="480" w:firstLineChars="200"/>
              <w:rPr>
                <w:rFonts w:hint="eastAsia" w:eastAsia="宋体"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中国共产党第二十次全国代表大会强调，中国是世界的一部分，应当积极参与全球治理。在当前复杂多变的国际形势下，我们需要加强国际合作，推动构建人类命运共同体，推动建立更加公正合理的国际秩序。同时，我们也要保护和维护国家的核心利益和安全，坚定维护国家主权和领</w:t>
            </w:r>
            <w:r>
              <w:rPr>
                <w:rFonts w:ascii="宋体" w:hAnsi="宋体" w:eastAsia="宋体" w:cs="宋体"/>
                <w:sz w:val="24"/>
                <w:szCs w:val="24"/>
              </w:rPr>
              <w:t>土</w:t>
            </w:r>
            <w:r>
              <w:rPr>
                <w:rFonts w:hint="eastAsia" w:ascii="宋体" w:hAnsi="宋体" w:eastAsia="宋体" w:cs="宋体"/>
                <w:sz w:val="24"/>
                <w:szCs w:val="24"/>
                <w:lang w:val="en-US" w:eastAsia="zh-CN"/>
              </w:rPr>
              <w:t>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595" w:hRule="atLeast"/>
          <w:jc w:val="center"/>
        </w:trPr>
        <w:tc>
          <w:tcPr>
            <w:tcW w:w="9051" w:type="dxa"/>
            <w:gridSpan w:val="9"/>
          </w:tcPr>
          <w:p>
            <w:pPr>
              <w:numPr>
                <w:ilvl w:val="0"/>
                <w:numId w:val="1"/>
              </w:numPr>
              <w:spacing w:line="360" w:lineRule="auto"/>
              <w:ind w:left="0" w:leftChars="0" w:firstLine="0" w:firstLineChars="0"/>
              <w:rPr>
                <w:rFonts w:ascii="宋体" w:hAnsi="宋体" w:eastAsia="宋体" w:cs="宋体"/>
                <w:sz w:val="24"/>
                <w:szCs w:val="24"/>
              </w:rPr>
            </w:pPr>
            <w:r>
              <w:rPr>
                <w:rFonts w:ascii="宋体" w:hAnsi="宋体" w:eastAsia="宋体" w:cs="宋体"/>
                <w:sz w:val="24"/>
                <w:szCs w:val="24"/>
              </w:rPr>
              <w:t>推进全面从严治党，巩固党的执政地位</w:t>
            </w:r>
          </w:p>
          <w:p>
            <w:pPr>
              <w:numPr>
                <w:numId w:val="0"/>
              </w:numPr>
              <w:spacing w:line="360" w:lineRule="auto"/>
              <w:ind w:leftChars="0" w:firstLine="480" w:firstLineChars="200"/>
              <w:rPr>
                <w:rFonts w:ascii="宋体" w:hAnsi="宋体" w:eastAsia="宋体" w:cs="宋体"/>
                <w:sz w:val="24"/>
                <w:szCs w:val="24"/>
              </w:rPr>
            </w:pPr>
            <w:r>
              <w:rPr>
                <w:rFonts w:ascii="宋体" w:hAnsi="宋体" w:eastAsia="宋体" w:cs="宋体"/>
                <w:sz w:val="24"/>
                <w:szCs w:val="24"/>
              </w:rPr>
              <w:t>中国共产党第二十次全国代表大会认为，全面从严治党是巩固党的执政地位的基础和保障。我们要始终保持清醒头脑，不断加强党的建设，加强党的政治建设，严格落实党的纪律，坚决反对腐败现象，打造风清气正的政治生态。同时，我们也要继续深入推进全面从严治党，切实增强党的领导力和执政能力，保持党的团结统一，为实现全面建设社会主义现代化强国的目标提供坚强的政治保障。</w:t>
            </w:r>
          </w:p>
          <w:p>
            <w:pPr>
              <w:numPr>
                <w:ilvl w:val="0"/>
                <w:numId w:val="1"/>
              </w:numPr>
              <w:spacing w:line="360" w:lineRule="auto"/>
              <w:ind w:left="0" w:leftChars="0" w:firstLine="0" w:firstLineChars="0"/>
              <w:rPr>
                <w:rFonts w:hint="eastAsia" w:ascii="宋体" w:hAnsi="宋体" w:eastAsia="宋体" w:cs="宋体"/>
                <w:sz w:val="24"/>
                <w:szCs w:val="24"/>
                <w:lang w:val="en-US" w:eastAsia="zh-CN"/>
              </w:rPr>
            </w:pPr>
            <w:r>
              <w:rPr>
                <w:rFonts w:ascii="宋体" w:hAnsi="宋体" w:eastAsia="宋体" w:cs="宋体"/>
                <w:sz w:val="24"/>
                <w:szCs w:val="24"/>
              </w:rPr>
              <w:t>推进一带一路建设，促进全球共同发展</w:t>
            </w:r>
          </w:p>
          <w:p>
            <w:pPr>
              <w:numPr>
                <w:numId w:val="0"/>
              </w:numPr>
              <w:spacing w:line="360" w:lineRule="auto"/>
              <w:ind w:leftChars="0" w:firstLine="480" w:firstLineChars="200"/>
              <w:rPr>
                <w:rFonts w:ascii="宋体" w:hAnsi="宋体" w:eastAsia="宋体" w:cs="宋体"/>
                <w:sz w:val="24"/>
                <w:szCs w:val="24"/>
              </w:rPr>
            </w:pPr>
            <w:r>
              <w:rPr>
                <w:rFonts w:ascii="宋体" w:hAnsi="宋体" w:eastAsia="宋体" w:cs="宋体"/>
                <w:sz w:val="24"/>
                <w:szCs w:val="24"/>
              </w:rPr>
              <w:t>中国共产党第二十次全国代表大会提出了推进一带一路建设的战略目标。一带一路是中国倡议的重要国际合作平台，旨在加强沿线国家的经济联系和互利合作，促进全球共同发展。我们要秉持共商共建共享的原则，坚持开放、绿色、廉洁的理念，加强与沿线国家的交流合作，共同推进互联互通、贸易投资、人文交流等领域的合作，构建和谐稳定的国际关系和平衡发展的全球格局。</w:t>
            </w:r>
          </w:p>
          <w:p>
            <w:pPr>
              <w:numPr>
                <w:ilvl w:val="0"/>
                <w:numId w:val="1"/>
              </w:numPr>
              <w:spacing w:line="360" w:lineRule="auto"/>
              <w:ind w:left="0" w:leftChars="0" w:firstLine="0" w:firstLineChars="0"/>
              <w:rPr>
                <w:rFonts w:ascii="宋体" w:hAnsi="宋体" w:eastAsia="宋体" w:cs="宋体"/>
                <w:sz w:val="24"/>
                <w:szCs w:val="24"/>
              </w:rPr>
            </w:pPr>
            <w:r>
              <w:rPr>
                <w:rFonts w:ascii="宋体" w:hAnsi="宋体" w:eastAsia="宋体" w:cs="宋体"/>
                <w:sz w:val="24"/>
                <w:szCs w:val="24"/>
              </w:rPr>
              <w:t>强调坚持党的领导，全面推进治理体系和治理能力现代化</w:t>
            </w:r>
          </w:p>
          <w:p>
            <w:pPr>
              <w:numPr>
                <w:numId w:val="0"/>
              </w:numPr>
              <w:spacing w:line="360" w:lineRule="auto"/>
              <w:ind w:leftChars="0" w:firstLine="480" w:firstLineChars="200"/>
              <w:rPr>
                <w:rFonts w:ascii="宋体" w:hAnsi="宋体" w:eastAsia="宋体" w:cs="宋体"/>
                <w:sz w:val="24"/>
                <w:szCs w:val="24"/>
              </w:rPr>
            </w:pPr>
            <w:r>
              <w:rPr>
                <w:rFonts w:ascii="宋体" w:hAnsi="宋体" w:eastAsia="宋体" w:cs="宋体"/>
                <w:sz w:val="24"/>
                <w:szCs w:val="24"/>
              </w:rPr>
              <w:t>中国共产党第二十次全国代表大会强调，坚持党的领导是中国特色社会主义最本质的特征。我们要深入贯彻落实全面从严治党的要求，加强党对经济、政治、文化、社会、生态文明建设等各个领域的领导，不断提高治理体系和治理能力现代化水平。同时，我们也要坚持以人民为中心的发展思想，不断提高人民群众的获得感和幸福感，切实实现中华民族伟大复兴的中国梦。</w:t>
            </w:r>
          </w:p>
          <w:p>
            <w:pPr>
              <w:numPr>
                <w:ilvl w:val="0"/>
                <w:numId w:val="1"/>
              </w:numPr>
              <w:spacing w:line="360" w:lineRule="auto"/>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总结</w:t>
            </w:r>
          </w:p>
          <w:p>
            <w:pPr>
              <w:numPr>
                <w:numId w:val="0"/>
              </w:numPr>
              <w:spacing w:line="360" w:lineRule="auto"/>
              <w:ind w:leftChars="0" w:firstLine="480" w:firstLineChars="200"/>
              <w:rPr>
                <w:rFonts w:hint="default" w:ascii="宋体" w:hAnsi="宋体" w:eastAsia="宋体" w:cs="宋体"/>
                <w:sz w:val="24"/>
                <w:szCs w:val="24"/>
                <w:lang w:val="en-US" w:eastAsia="zh-CN"/>
              </w:rPr>
            </w:pPr>
            <w:r>
              <w:rPr>
                <w:rFonts w:ascii="宋体" w:hAnsi="宋体" w:eastAsia="宋体" w:cs="宋体"/>
                <w:sz w:val="24"/>
                <w:szCs w:val="24"/>
              </w:rPr>
              <w:t>中国共产党第二十次全国代表大会的召开，标志着中国特色社会主义进入新时代，也为实现全面建设社会主义现代化强国的目标提供了指导思想和行动纲领。我们要充分认识到这一重要意义，深入领会党的二十大精神，以实际行动落实党的决策部署，为实现中华民族伟大复兴的中国梦作出新的更大的</w:t>
            </w:r>
            <w:r>
              <w:rPr>
                <w:rFonts w:hint="eastAsia" w:ascii="宋体" w:hAnsi="宋体" w:eastAsia="宋体" w:cs="宋体"/>
                <w:sz w:val="24"/>
                <w:szCs w:val="24"/>
                <w:lang w:val="en-US" w:eastAsia="zh-CN"/>
              </w:rPr>
              <w:t>贡献。</w:t>
            </w:r>
            <w:bookmarkStart w:id="0" w:name="_GoBack"/>
            <w:bookmarkEnd w:id="0"/>
            <w:r>
              <w:rPr>
                <w:rFonts w:ascii="宋体" w:hAnsi="宋体" w:eastAsia="宋体" w:cs="宋体"/>
                <w:sz w:val="24"/>
                <w:szCs w:val="24"/>
              </w:rPr>
              <w:t>我们要深刻领会和贯彻落实党的二十大精神，坚定不移地走中国特色社会主义道路，推动中国特色社会主义事业取得新的历史性成就。在新时代下，我们要始终牢记习近平总书记提出的“五位一体”总体布局和“四个全面”战略布局，坚持以人民为中心的发展思想，深入推进全面从严治党，推进一带一路建设，强化党的领导，全面推进治理体系和治理能力现代化，为实现中华民族伟大复兴的中国梦而不懈奋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jc w:val="center"/>
        </w:trPr>
        <w:tc>
          <w:tcPr>
            <w:tcW w:w="2262" w:type="dxa"/>
            <w:gridSpan w:val="2"/>
            <w:vAlign w:val="center"/>
          </w:tcPr>
          <w:p>
            <w:pPr>
              <w:jc w:val="center"/>
              <w:rPr>
                <w:rFonts w:cs="Times New Roman" w:asciiTheme="minorEastAsia" w:hAnsiTheme="minorEastAsia"/>
                <w:b/>
                <w:sz w:val="24"/>
                <w:szCs w:val="24"/>
              </w:rPr>
            </w:pPr>
            <w:r>
              <w:rPr>
                <w:rFonts w:hint="eastAsia" w:cs="Times New Roman" w:asciiTheme="minorEastAsia" w:hAnsiTheme="minorEastAsia"/>
                <w:b/>
                <w:sz w:val="24"/>
                <w:szCs w:val="24"/>
              </w:rPr>
              <w:t>评阅教师</w:t>
            </w:r>
          </w:p>
        </w:tc>
        <w:tc>
          <w:tcPr>
            <w:tcW w:w="2263" w:type="dxa"/>
            <w:gridSpan w:val="3"/>
            <w:vAlign w:val="center"/>
          </w:tcPr>
          <w:p>
            <w:pPr>
              <w:jc w:val="center"/>
              <w:rPr>
                <w:rFonts w:cs="Times New Roman" w:asciiTheme="minorEastAsia" w:hAnsiTheme="minorEastAsia"/>
                <w:b/>
                <w:sz w:val="24"/>
                <w:szCs w:val="24"/>
              </w:rPr>
            </w:pPr>
          </w:p>
        </w:tc>
        <w:tc>
          <w:tcPr>
            <w:tcW w:w="2263" w:type="dxa"/>
            <w:gridSpan w:val="3"/>
            <w:vAlign w:val="center"/>
          </w:tcPr>
          <w:p>
            <w:pPr>
              <w:jc w:val="center"/>
              <w:rPr>
                <w:rFonts w:cs="Times New Roman" w:asciiTheme="minorEastAsia" w:hAnsiTheme="minorEastAsia"/>
                <w:b/>
                <w:sz w:val="24"/>
                <w:szCs w:val="24"/>
              </w:rPr>
            </w:pPr>
            <w:r>
              <w:rPr>
                <w:rFonts w:hint="eastAsia" w:cs="Times New Roman" w:asciiTheme="minorEastAsia" w:hAnsiTheme="minorEastAsia"/>
                <w:b/>
                <w:sz w:val="24"/>
                <w:szCs w:val="24"/>
              </w:rPr>
              <w:t>最终成绩评定</w:t>
            </w:r>
          </w:p>
          <w:p>
            <w:pPr>
              <w:jc w:val="center"/>
              <w:rPr>
                <w:rFonts w:cs="Times New Roman" w:asciiTheme="minorEastAsia" w:hAnsiTheme="minorEastAsia"/>
                <w:b/>
                <w:sz w:val="24"/>
                <w:szCs w:val="24"/>
              </w:rPr>
            </w:pPr>
            <w:r>
              <w:rPr>
                <w:rFonts w:hint="eastAsia" w:cs="Times New Roman" w:asciiTheme="minorEastAsia" w:hAnsiTheme="minorEastAsia"/>
                <w:b/>
                <w:sz w:val="24"/>
                <w:szCs w:val="24"/>
              </w:rPr>
              <w:t>（百分制）</w:t>
            </w:r>
          </w:p>
        </w:tc>
        <w:tc>
          <w:tcPr>
            <w:tcW w:w="2263" w:type="dxa"/>
            <w:vAlign w:val="center"/>
          </w:tcPr>
          <w:p>
            <w:pPr>
              <w:jc w:val="center"/>
              <w:rPr>
                <w:rFonts w:cs="Times New Roman" w:asciiTheme="minorEastAsia" w:hAnsiTheme="minorEastAsia"/>
                <w:b/>
                <w:sz w:val="24"/>
                <w:szCs w:val="24"/>
              </w:rPr>
            </w:pPr>
          </w:p>
        </w:tc>
      </w:tr>
    </w:tbl>
    <w:p>
      <w:pPr>
        <w:rPr>
          <w:rFonts w:ascii="Times New Roman" w:hAnsi="Times New Roman" w:cs="Times New Roman"/>
          <w:sz w:val="24"/>
          <w:szCs w:val="24"/>
        </w:rPr>
      </w:pPr>
      <w:r>
        <w:rPr>
          <w:rFonts w:ascii="Times New Roman" w:hAnsi="Times New Roman" w:cs="Times New Roman"/>
          <w:b/>
        </w:rPr>
        <w:t>---</w:t>
      </w:r>
      <w:r>
        <w:rPr>
          <w:rFonts w:hint="eastAsia" w:ascii="Times New Roman" w:hAnsi="Times New Roman" w:cs="Times New Roman"/>
          <w:b/>
        </w:rPr>
        <w:t>-</w:t>
      </w:r>
      <w:r>
        <w:rPr>
          <w:rFonts w:ascii="Times New Roman" w:hAnsi="Times New Roman" w:cs="Times New Roman"/>
          <w:b/>
        </w:rPr>
        <w:t>--</w:t>
      </w:r>
      <w:r>
        <w:rPr>
          <w:rFonts w:hint="eastAsia" w:ascii="Times New Roman" w:hAnsi="Times New Roman" w:cs="Times New Roman"/>
          <w:b/>
        </w:rPr>
        <w:t>-</w:t>
      </w:r>
      <w:r>
        <w:rPr>
          <w:rFonts w:ascii="Times New Roman" w:hAnsi="Times New Roman" w:cs="Times New Roman"/>
          <w:b/>
        </w:rPr>
        <w:t>以下为空------</w:t>
      </w:r>
      <w:r>
        <w:rPr>
          <w:rFonts w:hint="eastAsia" w:ascii="Times New Roman" w:hAnsi="Times New Roman" w:cs="Times New Roman"/>
          <w:b/>
        </w:rPr>
        <w:t>-----------------------</w:t>
      </w:r>
      <w:r>
        <w:rPr>
          <w:rFonts w:ascii="Times New Roman" w:hAnsi="Times New Roman" w:cs="Times New Roman"/>
          <w:b/>
        </w:rPr>
        <w:t>不得超过</w:t>
      </w:r>
      <w:r>
        <w:rPr>
          <w:rFonts w:hint="eastAsia" w:ascii="Times New Roman" w:hAnsi="Times New Roman" w:cs="Times New Roman"/>
          <w:b/>
        </w:rPr>
        <w:t>2</w:t>
      </w:r>
      <w:r>
        <w:rPr>
          <w:rFonts w:ascii="Times New Roman" w:hAnsi="Times New Roman" w:cs="Times New Roman"/>
          <w:b/>
        </w:rPr>
        <w:t>页A4纸</w:t>
      </w:r>
      <w:r>
        <w:rPr>
          <w:rFonts w:hint="eastAsia" w:ascii="Times New Roman" w:hAnsi="Times New Roman" w:cs="Times New Roman"/>
          <w:b/>
        </w:rPr>
        <w:t>----</w:t>
      </w:r>
      <w:r>
        <w:rPr>
          <w:rFonts w:ascii="Times New Roman" w:hAnsi="Times New Roman" w:cs="Times New Roman"/>
          <w:b/>
        </w:rPr>
        <w:t>---</w:t>
      </w:r>
      <w:r>
        <w:rPr>
          <w:rFonts w:hint="eastAsia" w:ascii="Times New Roman" w:hAnsi="Times New Roman" w:cs="Times New Roman"/>
          <w:b/>
        </w:rPr>
        <w:t>--------</w:t>
      </w:r>
      <w:r>
        <w:rPr>
          <w:rFonts w:ascii="Times New Roman" w:hAnsi="Times New Roman" w:cs="Times New Roman"/>
          <w:b/>
        </w:rPr>
        <w:t>--</w:t>
      </w:r>
      <w:r>
        <w:rPr>
          <w:rFonts w:hint="eastAsia" w:ascii="Times New Roman" w:hAnsi="Times New Roman" w:cs="Times New Roman"/>
          <w:b/>
        </w:rPr>
        <w:t>--</w:t>
      </w:r>
      <w:r>
        <w:rPr>
          <w:rFonts w:ascii="Times New Roman" w:hAnsi="Times New Roman" w:cs="Times New Roman"/>
          <w:b/>
        </w:rPr>
        <w:t xml:space="preserve"> -------以下为空-----</w:t>
      </w:r>
      <w:r>
        <w:rPr>
          <w:rFonts w:hint="eastAsia" w:ascii="Times New Roman" w:hAnsi="Times New Roman" w:cs="Times New Roman"/>
          <w:b/>
        </w:rPr>
        <w:t>--</w:t>
      </w:r>
    </w:p>
    <w:sectPr>
      <w:pgSz w:w="11906" w:h="16838"/>
      <w:pgMar w:top="1247" w:right="1701" w:bottom="85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93EB00"/>
    <w:multiLevelType w:val="singleLevel"/>
    <w:tmpl w:val="7D93EB00"/>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I1sDA2sjQxtDCyNDZS0lEKTi0uzszPAykwrAUAaSG5WSwAAAA="/>
    <w:docVar w:name="commondata" w:val="eyJoZGlkIjoiYjE1YTYwMDViOGUyM2ZmNjA3N2Y5NzIzMzZjNzk3ZGQifQ=="/>
  </w:docVars>
  <w:rsids>
    <w:rsidRoot w:val="00313CF5"/>
    <w:rsid w:val="000246EB"/>
    <w:rsid w:val="0005778F"/>
    <w:rsid w:val="000B66BE"/>
    <w:rsid w:val="00115A41"/>
    <w:rsid w:val="00180453"/>
    <w:rsid w:val="001F50DC"/>
    <w:rsid w:val="002D59A2"/>
    <w:rsid w:val="00305BEC"/>
    <w:rsid w:val="00313CF5"/>
    <w:rsid w:val="003B5A80"/>
    <w:rsid w:val="00421936"/>
    <w:rsid w:val="0048405E"/>
    <w:rsid w:val="004B24D9"/>
    <w:rsid w:val="006C11F1"/>
    <w:rsid w:val="008B7024"/>
    <w:rsid w:val="008D244C"/>
    <w:rsid w:val="00A70E61"/>
    <w:rsid w:val="00B47884"/>
    <w:rsid w:val="00BA6F56"/>
    <w:rsid w:val="00BA790B"/>
    <w:rsid w:val="00DB2086"/>
    <w:rsid w:val="00DD2683"/>
    <w:rsid w:val="00E40062"/>
    <w:rsid w:val="00E83E57"/>
    <w:rsid w:val="00EF62FD"/>
    <w:rsid w:val="32C3419A"/>
    <w:rsid w:val="5774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299</Words>
  <Characters>394</Characters>
  <Lines>2</Lines>
  <Paragraphs>1</Paragraphs>
  <TotalTime>1</TotalTime>
  <ScaleCrop>false</ScaleCrop>
  <LinksUpToDate>false</LinksUpToDate>
  <CharactersWithSpaces>397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2020-12-15T12:18:00Z</dcterms:created>
  <dc:creator>lenovo</dc:creator>
  <cp:lastModifiedBy>枫落忆痕</cp:lastModifiedBy>
  <dcterms:modified xsi:type="dcterms:W3CDTF">2023-04-09T09:00:54Z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FB65815C574A4E08B11F66ACD1D6D01D_12</vt:lpwstr>
  </property>
</Properties>
</file>