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80"/>
      </w:pPr>
      <w:r>
        <w:rPr>
          <w:rFonts w:ascii="Times New Roman" w:hAnsi="Times New Roman" w:eastAsia="黑体"/>
          <w:b/>
          <w:sz w:val="30"/>
        </w:rPr>
        <w:t>3.2.2 OCR读数原理</w:t>
      </w:r>
    </w:p>
    <w:p>
      <w:pPr>
        <w:spacing w:line="360" w:lineRule="auto" w:after="0"/>
        <w:ind w:firstLine="482"/>
        <w:jc w:val="both"/>
      </w:pPr>
      <w:r>
        <w:rPr>
          <w:rFonts w:ascii="Times New Roman" w:hAnsi="Times New Roman" w:eastAsia="宋体"/>
          <w:b w:val="0"/>
          <w:sz w:val="24"/>
        </w:rPr>
        <w:t>光学字符识别（Optical Character Recognition，OCR）是将图像中的字符信息转换为机器可处理文本的技术。对于数显微分表，识别对象主要由数字、小数点和正负号构成，目标不是理解自然语言，而是从LCD图像中恢复具有固定格式的数值。典型OCR流程包括显示区域定位、图像归一化、视觉特征提取、字符序列预测和结果解码。</w:t>
      </w:r>
    </w:p>
    <w:p>
      <w:pPr>
        <w:spacing w:line="360" w:lineRule="auto" w:after="0"/>
        <w:ind w:firstLine="482"/>
        <w:jc w:val="both"/>
      </w:pPr>
      <w:r>
        <w:rPr>
          <w:rFonts w:ascii="Times New Roman" w:hAnsi="Times New Roman" w:eastAsia="宋体"/>
          <w:b w:val="0"/>
          <w:sz w:val="24"/>
        </w:rPr>
        <w:t>OCR系统通常由文本区域处理和字符识别两个环节组成。文本区域处理负责从复杂画面中提取包含字符的有效区域，并通过灰度化、对比度增强和尺寸归一化减小光照、拍摄角度以及显示屏反光造成的差异。字符识别网络则从处理后的图像中提取笔画、边缘和局部形状等视觉特征，将横向排列的字符作为一个完整序列进行识别，因此不需要逐个切分数字。</w:t>
      </w:r>
    </w:p>
    <w:p>
      <w:pPr>
        <w:spacing w:line="360" w:lineRule="auto" w:after="0"/>
        <w:ind w:firstLine="482"/>
        <w:jc w:val="both"/>
      </w:pPr>
      <w:r>
        <w:rPr>
          <w:rFonts w:ascii="Times New Roman" w:hAnsi="Times New Roman" w:eastAsia="宋体"/>
          <w:b w:val="0"/>
          <w:sz w:val="24"/>
        </w:rPr>
        <w:t>序列识别方法能够同时利用单个字符的形状信息和相邻字符之间的排列关系。例如，小数点虽然面积较小，但其位置与前后数字共同构成固定的数值格式；负号也可通过其横向结构及所处位置与其他干扰线条区分。识别模型最终输出完整字符序列及相应置信度，为后续数值格式检查和异常结果过滤提供依据。</w:t>
      </w:r>
    </w:p>
    <w:p>
      <w:pPr>
        <w:spacing w:line="360" w:lineRule="auto" w:after="0"/>
        <w:ind w:firstLine="482"/>
        <w:jc w:val="both"/>
      </w:pPr>
      <w:r>
        <w:rPr>
          <w:rFonts w:ascii="Times New Roman" w:hAnsi="Times New Roman" w:eastAsia="宋体"/>
          <w:b w:val="0"/>
          <w:sz w:val="24"/>
        </w:rPr>
        <w:t>PP-OCR系列以轻量化和便于部署为主要特点，通过对特征提取与文本识别网络进行优化，在保持较小计算开销的同时提高字符识别能力。PP-OCRv6进一步面向检测与识别任务改进网络结构，可覆盖服务器和边缘设备等不同部署场景[1]。本项目采用其轻量级文本识别模型，使数显仪表图像能够在本地完成推理，避免依赖云端服务。</w:t>
      </w:r>
    </w:p>
    <w:p>
      <w:pPr>
        <w:spacing w:line="360" w:lineRule="auto" w:after="0"/>
        <w:ind w:firstLine="482"/>
        <w:jc w:val="both"/>
      </w:pPr>
      <w:r>
        <w:rPr>
          <w:rFonts w:ascii="Times New Roman" w:hAnsi="Times New Roman" w:eastAsia="宋体"/>
          <w:b w:val="0"/>
          <w:sz w:val="24"/>
        </w:rPr>
        <w:t>OCR模型输出的字符序列同时带有识别置信度。置信度可用于滤除模糊、反光或遮挡条件下的低质量结果，但单帧高置信度并不必然代表读数真实可靠。LCD反光、相机抖动、小数点尺寸较小以及数字形状相近，均可能造成字符遗漏或位数错误。因此，仪表读数系统通常还需要结合数值格式约束与连续帧一致性判断，将字符识别结果转换为可信的物理量。</w:t>
      </w:r>
    </w:p>
    <w:p>
      <w:pPr>
        <w:keepNext/>
        <w:spacing w:before="100" w:after="80"/>
      </w:pPr>
      <w:r>
        <w:rPr>
          <w:rFonts w:ascii="Times New Roman" w:hAnsi="Times New Roman" w:eastAsia="黑体"/>
          <w:b/>
          <w:sz w:val="24"/>
        </w:rPr>
        <w:t>本节参考文献</w:t>
      </w:r>
    </w:p>
    <w:p>
      <w:pPr>
        <w:spacing w:line="300" w:lineRule="auto"/>
        <w:ind w:left="420" w:hanging="420"/>
        <w:jc w:val="both"/>
      </w:pPr>
      <w:r>
        <w:rPr>
          <w:rFonts w:ascii="Times New Roman" w:hAnsi="Times New Roman" w:eastAsia="宋体"/>
          <w:b w:val="0"/>
          <w:sz w:val="21"/>
        </w:rPr>
        <w:t>[1] ZHANG Y, WANG X, LIN M, et al. PP-OCRv6: From 1.5M to 34.5M Parameters, Surpassing Billion-Scale VLMs on OCR Tasks[EB/OL]. arXiv:2606.13108, 2026.</w:t>
      </w:r>
    </w:p>
    <w:sectPr w:rsidR="00FC693F" w:rsidRPr="0006063C" w:rsidSect="00034616">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