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60" w:after="80"/>
      </w:pPr>
      <w:r>
        <w:rPr>
          <w:rFonts w:ascii="Times New Roman" w:hAnsi="Times New Roman" w:eastAsia="黑体"/>
          <w:b/>
          <w:sz w:val="30"/>
        </w:rPr>
        <w:t>4.2.4 微分表视觉读数</w:t>
      </w:r>
    </w:p>
    <w:p>
      <w:pPr>
        <w:spacing w:line="360" w:lineRule="auto" w:after="0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微分表视觉读数模块使用独立USB相机采集数显微分表的LCD画面，并按照“显示区域定位—图像增强—OCR识别—连续帧确认”的流程输出读数。采用独立相机可以避免干涉条纹图像采集与仪表读数相互影响，并使两路视觉任务能够同时运行。</w:t>
      </w:r>
    </w:p>
    <w:p>
      <w:pPr>
        <w:spacing w:line="360" w:lineRule="auto" w:after="0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系统首先根据LCD屏幕的长条形轮廓和矩形结构，在相机画面中提取显示区域；自动定位失败时，可使用预先设置的感兴趣区域。随后对裁剪图像进行灰度化和限制对比度自适应直方图均衡化，以增强数字与背景之间的局部对比度并减弱光照不均的影响[2]。</w:t>
      </w:r>
    </w:p>
    <w:p>
      <w:pPr>
        <w:spacing w:line="360" w:lineRule="auto" w:after="0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处理后的LCD图像输入RapidOCR调用的PP-OCRv6轻量级识别模型，得到数字、小数点和正负号组成的字符序列及置信度[1]。系统对识别文本进行数值格式检查，并对小数点遗漏等常见问题进行有限修正；格式错误或置信度过低的结果不参与读数更新。</w:t>
      </w:r>
    </w:p>
    <w:p>
      <w:pPr>
        <w:spacing w:line="360" w:lineRule="auto" w:after="0"/>
        <w:ind w:firstLine="482"/>
        <w:jc w:val="both"/>
      </w:pPr>
      <w:r>
        <w:rPr>
          <w:rFonts w:ascii="Times New Roman" w:hAnsi="Times New Roman" w:eastAsia="宋体"/>
          <w:b w:val="0"/>
          <w:sz w:val="24"/>
        </w:rPr>
        <w:t>为降低相机抖动、屏幕反光和单帧误识别的影响，系统对连续多帧结果进行一致性确认，只有读数连续稳定出现后才作为最终输出。稳定读数以毫米为单位提供给实验流程，在中心条纹对准并停止电机后自动记录，用于计算动镜位移。该方法减少了人工观察和抄录造成的误差，也避免偶发OCR结果直接影响电机控制。</w:t>
      </w:r>
    </w:p>
    <w:p>
      <w:pPr>
        <w:keepNext/>
        <w:spacing w:before="100" w:after="80"/>
      </w:pPr>
      <w:r>
        <w:rPr>
          <w:rFonts w:ascii="Times New Roman" w:hAnsi="Times New Roman" w:eastAsia="黑体"/>
          <w:b/>
          <w:sz w:val="24"/>
        </w:rPr>
        <w:t>本节参考文献</w:t>
      </w:r>
    </w:p>
    <w:p>
      <w:pPr>
        <w:spacing w:line="300" w:lineRule="auto"/>
        <w:ind w:left="420" w:hanging="420"/>
        <w:jc w:val="both"/>
      </w:pPr>
      <w:r>
        <w:rPr>
          <w:rFonts w:ascii="Times New Roman" w:hAnsi="Times New Roman" w:eastAsia="宋体"/>
          <w:b w:val="0"/>
          <w:sz w:val="21"/>
        </w:rPr>
        <w:t>[1] ZHANG Y, WANG X, LIN M, et al. PP-OCRv6: From 1.5M to 34.5M Parameters, Surpassing Billion-Scale VLMs on OCR Tasks[EB/OL]. arXiv:2606.13108, 2026.</w:t>
      </w:r>
    </w:p>
    <w:p>
      <w:pPr>
        <w:spacing w:line="300" w:lineRule="auto"/>
        <w:ind w:left="420" w:hanging="420"/>
        <w:jc w:val="both"/>
      </w:pPr>
      <w:r>
        <w:rPr>
          <w:rFonts w:ascii="Times New Roman" w:hAnsi="Times New Roman" w:eastAsia="宋体"/>
          <w:b w:val="0"/>
          <w:sz w:val="21"/>
        </w:rPr>
        <w:t>[2] PIZER S M, AMBURN E P, AUSTIN J D, et al. Adaptive histogram equalization and its variations[J]. Computer Vision, Graphics, and Image Processing, 1987, 39(3): 355-368.</w:t>
      </w:r>
    </w:p>
    <w:sectPr w:rsidR="00FC693F" w:rsidRPr="0006063C" w:rsidSect="00034616">
      <w:pgSz w:w="11906" w:h="16838"/>
      <w:pgMar w:top="1440" w:right="1474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