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</w:pPr>
      <w:r>
        <w:rPr>
          <w:rFonts w:ascii="Liberation Serif" w:hAnsi="Liberation Serif" w:eastAsia="Noto Serif CJK SC"/>
          <w:b w:val="0"/>
          <w:color w:val="000000"/>
          <w:sz w:val="24"/>
        </w:rPr>
      </w:r>
    </w:p>
    <w:p>
      <w:pPr>
        <w:spacing w:after="100" w:line="276" w:lineRule="auto"/>
        <w:ind w:firstLine="0"/>
        <w:jc w:val="center"/>
      </w:pPr>
      <w:r>
        <w:rPr>
          <w:rFonts w:ascii="Liberation Serif" w:hAnsi="Liberation Serif" w:eastAsia="Noto Serif CJK SC"/>
          <w:b/>
          <w:color w:val="000000"/>
          <w:sz w:val="52"/>
        </w:rPr>
        <w:t>中 南 大 学</w:t>
      </w:r>
    </w:p>
    <w:p>
      <w:pPr>
        <w:spacing w:after="68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8"/>
        </w:rPr>
        <w:t>CENTRAL SOUTH UNIVERSITY</w:t>
      </w:r>
    </w:p>
    <w:p>
      <w:pPr>
        <w:spacing w:after="160" w:line="276" w:lineRule="auto"/>
        <w:ind w:firstLine="0"/>
        <w:jc w:val="center"/>
      </w:pPr>
      <w:r>
        <w:rPr>
          <w:rFonts w:ascii="Liberation Serif" w:hAnsi="Liberation Serif" w:eastAsia="Noto Serif CJK SC"/>
          <w:b/>
          <w:color w:val="000000"/>
          <w:sz w:val="48"/>
        </w:rPr>
        <w:t>系统分析与设计</w:t>
      </w:r>
    </w:p>
    <w:p>
      <w:pPr>
        <w:spacing w:after="140" w:line="276" w:lineRule="auto"/>
        <w:ind w:firstLine="0"/>
        <w:jc w:val="center"/>
      </w:pPr>
      <w:r>
        <w:rPr>
          <w:rFonts w:ascii="Liberation Serif" w:hAnsi="Liberation Serif" w:eastAsia="Noto Serif CJK SC"/>
          <w:b/>
          <w:color w:val="000000"/>
          <w:sz w:val="48"/>
        </w:rPr>
        <w:t>课 程 阶 段 报 告</w:t>
      </w:r>
    </w:p>
    <w:p>
      <w:pPr>
        <w:spacing w:after="52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4"/>
        </w:rPr>
        <w:t>COURSE PROJECT PROGRESS REPORT</w:t>
      </w:r>
    </w:p>
    <w:p>
      <w:pPr>
        <w:pStyle w:val="Title"/>
        <w:spacing w:after="240"/>
        <w:ind w:firstLine="0"/>
        <w:jc w:val="center"/>
      </w:pPr>
      <w:r>
        <w:rPr>
          <w:rFonts w:ascii="Liberation Serif" w:hAnsi="Liberation Serif" w:eastAsia="Noto Serif CJK SC"/>
          <w:b/>
          <w:color w:val="000000"/>
          <w:sz w:val="32"/>
        </w:rPr>
        <w:t>题　目  ADC 牙科连锁运营管理系统分析与设计</w:t>
      </w:r>
    </w:p>
    <w:p>
      <w:pPr>
        <w:spacing w:after="160"/>
        <w:ind w:firstLine="0" w:left="1814"/>
      </w:pPr>
      <w:r>
        <w:rPr>
          <w:rFonts w:ascii="Liberation Serif" w:hAnsi="Liberation Serif" w:eastAsia="Noto Serif CJK SC"/>
          <w:b w:val="0"/>
          <w:color w:val="000000"/>
          <w:sz w:val="28"/>
        </w:rPr>
        <w:t>学生姓名  张加良</w:t>
      </w:r>
    </w:p>
    <w:p>
      <w:pPr>
        <w:spacing w:after="160"/>
        <w:ind w:firstLine="0" w:left="1814"/>
      </w:pPr>
      <w:r>
        <w:rPr>
          <w:rFonts w:ascii="Liberation Serif" w:hAnsi="Liberation Serif" w:eastAsia="Noto Serif CJK SC"/>
          <w:b w:val="0"/>
          <w:color w:val="000000"/>
          <w:sz w:val="28"/>
        </w:rPr>
        <w:t>学　　号  8210241102</w:t>
      </w:r>
    </w:p>
    <w:p>
      <w:pPr>
        <w:spacing w:after="160"/>
        <w:ind w:firstLine="0" w:left="1814"/>
      </w:pPr>
      <w:r>
        <w:rPr>
          <w:rFonts w:ascii="Liberation Serif" w:hAnsi="Liberation Serif" w:eastAsia="Noto Serif CJK SC"/>
          <w:b w:val="0"/>
          <w:color w:val="000000"/>
          <w:sz w:val="28"/>
        </w:rPr>
        <w:t>指导教师  毕文杰教授</w:t>
      </w:r>
    </w:p>
    <w:p>
      <w:pPr>
        <w:spacing w:after="160"/>
        <w:ind w:firstLine="0" w:left="1814"/>
      </w:pPr>
      <w:r>
        <w:rPr>
          <w:rFonts w:ascii="Liberation Serif" w:hAnsi="Liberation Serif" w:eastAsia="Noto Serif CJK SC"/>
          <w:b w:val="0"/>
          <w:color w:val="000000"/>
          <w:sz w:val="28"/>
        </w:rPr>
        <w:t>学　　院  商学院</w:t>
      </w:r>
    </w:p>
    <w:p>
      <w:pPr>
        <w:spacing w:after="160"/>
        <w:ind w:firstLine="0" w:left="1814"/>
      </w:pPr>
      <w:r>
        <w:rPr>
          <w:rFonts w:ascii="Liberation Serif" w:hAnsi="Liberation Serif" w:eastAsia="Noto Serif CJK SC"/>
          <w:b w:val="0"/>
          <w:color w:val="000000"/>
          <w:sz w:val="28"/>
        </w:rPr>
        <w:t>专业班级  信管 T2401</w:t>
      </w:r>
    </w:p>
    <w:p>
      <w:pPr>
        <w:spacing w:after="24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2"/>
        </w:rPr>
        <w:t>R2.4.1 主机运行保障阶段报告</w:t>
      </w:r>
    </w:p>
    <w:p>
      <w:pPr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8"/>
        </w:rPr>
        <w:t>2026年10月18日</w:t>
      </w:r>
    </w:p>
    <w:p>
      <w:pPr>
        <w:sectPr>
          <w:headerReference w:type="default" r:id="rId11"/>
          <w:footerReference w:type="default" r:id="rId12"/>
          <w:headerReference w:type="first" r:id="rId54"/>
          <w:footerReference w:type="first" r:id="rId55"/>
          <w:pgSz w:w="11906" w:h="16838"/>
          <w:pgMar w:top="1417" w:right="1134" w:bottom="1304" w:left="1701" w:header="737" w:footer="680" w:gutter="0"/>
          <w:cols w:space="720"/>
          <w:titlePg/>
          <w:docGrid w:linePitch="360"/>
          <w:pgNumType w:start="1" w:fmt="decimal"/>
        </w:sectPr>
      </w:pPr>
    </w:p>
    <w:p>
      <w:pPr>
        <w:pStyle w:val="Heading1"/>
      </w:pPr>
      <w:r>
        <w:rPr>
          <w:rFonts w:ascii="Liberation Serif" w:hAnsi="Liberation Serif" w:eastAsia="Noto Sans CJK SC"/>
          <w:b/>
          <w:color w:val="000000"/>
          <w:sz w:val="32"/>
        </w:rPr>
        <w:t>ADC 牙科连锁运营管理系统分析与设计</w:t>
      </w:r>
    </w:p>
    <w:p>
      <w:pPr>
        <w:pStyle w:val="Heading1"/>
      </w:pPr>
      <w:r>
        <w:rPr>
          <w:rFonts w:ascii="Liberation Serif" w:hAnsi="Liberation Serif" w:eastAsia="Noto Sans CJK SC"/>
          <w:b/>
          <w:color w:val="000000"/>
          <w:sz w:val="32"/>
        </w:rPr>
        <w:t>摘　要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本项目以 Andrew’s Dental Chain（ADC）课程案例为背景，围绕连锁诊所分散运营、跨店协作、连续交接与经营核对，建立患者资料、预约到诊、实际治疗、版本化结算、收退款、设备维护和运营分析相互衔接的信息系统。系统采用患者、牙医、前台、诊所主管、总部、财务和技术管理七类工作台，将账号、当前身份及诊所范围分别表达。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报告保留项目愿景、业务用例、现状与改进后的业务序列、系统用例、领域与状态模型，以及 SU-01—38 和 SF-01 的完整规约。在原有接诊与结算基础上，财务流程加入渠道账户、分次收退款凭据、独立审核、私有 CSV 导入和逐笔对账；设备流程保留责任维护、独立验收及费用来源，避免把排班协商或会计核对等同于自动业务变更。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R2.1完成请求追踪与安全日志，R2.2识别通知心跳、积压及监测失效，R2.3完成快照一致的备份与独立恢复。本轮R2.4.1增加主机事件和故障处置：区分停止、重启、内存终止与采集失联，记录认领、行动、验证和关闭。第5章保留本轮与历史证据，完整R2、独立公网和商业化验收仍待完成。</w:t>
      </w:r>
    </w:p>
    <w:p>
      <w:pPr>
        <w:spacing w:after="0"/>
        <w:ind w:firstLine="0"/>
      </w:pPr>
      <w:r>
        <w:rPr>
          <w:rFonts w:ascii="Liberation Serif" w:hAnsi="Liberation Serif" w:eastAsia="Noto Serif CJK SC"/>
          <w:b/>
          <w:color w:val="000000"/>
          <w:sz w:val="21"/>
        </w:rPr>
        <w:t>关键词  系统分析与设计；连锁诊所；业务范围；财务证据；通知监测；可验证性</w:t>
      </w:r>
    </w:p>
    <w:p>
      <w:pPr>
        <w:pStyle w:val="Heading1"/>
        <w:pageBreakBefore/>
      </w:pPr>
      <w:r>
        <w:rPr>
          <w:rFonts w:ascii="Liberation Serif" w:hAnsi="Liberation Serif" w:eastAsia="Noto Sans CJK SC"/>
          <w:b/>
          <w:color w:val="000000"/>
          <w:sz w:val="32"/>
        </w:rPr>
        <w:t>Analysis and Design of the ADC Dental Chain Operations Management System</w:t>
      </w:r>
    </w:p>
    <w:p>
      <w:pPr>
        <w:pStyle w:val="Heading1"/>
      </w:pPr>
      <w:r>
        <w:rPr>
          <w:rFonts w:ascii="Liberation Serif" w:hAnsi="Liberation Serif" w:eastAsia="Noto Sans CJK SC"/>
          <w:b/>
          <w:color w:val="000000"/>
          <w:sz w:val="32"/>
        </w:rPr>
        <w:t>ABSTRACT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  <w:lang w:val="en-US" w:eastAsia="en-US"/>
        </w:rPr>
        <w:t>This course project develops a connected operations system for one dental chain. Patient records, appointments, attendance, actual treatment, versioned billing, receipts and refunds, equipment maintenance and operational review share protected business facts. Seven role-specific workspaces distinguish account ownership, the active role and the current clinic scope.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  <w:lang w:val="en-US" w:eastAsia="en-US"/>
        </w:rPr>
        <w:t>The report retains the project vision, business and system use cases, current and improved business sequences, domain and state models, and all original SU-01 to SU-38 and SF-01 specifications. Financial evidence and one-to-one statement reconciliation retain independent review. Equipment records connect maintenance responsibility, separate acceptance and supported expenses without silently rescheduling clinical commitments.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  <w:lang w:val="en-US" w:eastAsia="en-US"/>
        </w:rPr>
        <w:t>R2.1 provides safe request tracing, R2.2 observes notification progress, and R2.3 verifies snapshot-consistent backups and independent restoration. R2.4.1 adds host events and human incident handling. It distinguishes stops, restarts, out-of-memory termination and collector failure, retaining responsibility, actions and verified closure. Chapter 5 separates current and historical evidence. Full R2, independent hosting and commercial readiness remain unverified.</w:t>
      </w:r>
    </w:p>
    <w:p>
      <w:pPr>
        <w:spacing w:after="0"/>
        <w:ind w:firstLine="0"/>
      </w:pPr>
      <w:r>
        <w:rPr>
          <w:rFonts w:ascii="Liberation Serif" w:hAnsi="Liberation Serif" w:eastAsia="Noto Serif CJK SC"/>
          <w:b w:val="0"/>
          <w:color w:val="000000"/>
          <w:sz w:val="21"/>
        </w:rPr>
        <w:t>Key words  systems analysis and design; dental chain; financial evidence; notification monitoring; verifiability</w:t>
      </w:r>
    </w:p>
    <w:p>
      <w:pPr>
        <w:pStyle w:val="Heading1"/>
        <w:pageBreakBefore/>
      </w:pPr>
      <w:r>
        <w:rPr>
          <w:rFonts w:ascii="Liberation Serif" w:hAnsi="Liberation Serif" w:eastAsia="Noto Sans CJK SC"/>
          <w:b/>
          <w:color w:val="000000"/>
          <w:sz w:val="32"/>
        </w:rPr>
        <w:t>目　录</w:t>
      </w:r>
    </w:p>
    <w:p>
      <w:pPr>
        <w:spacing w:line="320" w:lineRule="exact" w:after="0"/>
        <w:ind w:firstLine="0" w:left="0"/>
        <w:tabs>
          <w:tab w:val="right" w:leader="dot" w:pos="9070"/>
        </w:tabs>
      </w:pPr>
      <w:r>
        <w:rPr>
          <w:rFonts w:ascii="Liberation Serif" w:hAnsi="Liberation Serif" w:eastAsia="Noto Serif CJK SC"/>
          <w:b/>
          <w:color w:val="000000"/>
          <w:sz w:val="21"/>
        </w:rPr>
        <w:t>第1章 绪论</w:t>
        <w:tab/>
        <w:t>1</w:t>
      </w:r>
    </w:p>
    <w:p>
      <w:pPr>
        <w:spacing w:line="320" w:lineRule="exact" w:after="0"/>
        <w:ind w:firstLine="0" w:left="340"/>
        <w:tabs>
          <w:tab w:val="right" w:leader="dot" w:pos="9070"/>
        </w:tabs>
      </w:pPr>
      <w:r>
        <w:rPr>
          <w:rFonts w:ascii="Liberation Serif" w:hAnsi="Liberation Serif" w:eastAsia="Noto Serif CJK SC"/>
          <w:b w:val="0"/>
          <w:color w:val="000000"/>
          <w:sz w:val="21"/>
        </w:rPr>
        <w:t>1.1 项目背景与实践意义</w:t>
        <w:tab/>
        <w:t>1</w:t>
      </w:r>
    </w:p>
    <w:p>
      <w:pPr>
        <w:spacing w:line="320" w:lineRule="exact" w:after="0"/>
        <w:ind w:firstLine="0" w:left="340"/>
        <w:tabs>
          <w:tab w:val="right" w:leader="dot" w:pos="9070"/>
        </w:tabs>
      </w:pPr>
      <w:r>
        <w:rPr>
          <w:rFonts w:ascii="Liberation Serif" w:hAnsi="Liberation Serif" w:eastAsia="Noto Serif CJK SC"/>
          <w:b w:val="0"/>
          <w:color w:val="000000"/>
          <w:sz w:val="21"/>
        </w:rPr>
        <w:t>1.2 案例依据与研究方法</w:t>
        <w:tab/>
        <w:t>1</w:t>
      </w:r>
    </w:p>
    <w:p>
      <w:pPr>
        <w:spacing w:line="320" w:lineRule="exact" w:after="0"/>
        <w:ind w:firstLine="0" w:left="340"/>
        <w:tabs>
          <w:tab w:val="right" w:leader="dot" w:pos="9070"/>
        </w:tabs>
      </w:pPr>
      <w:r>
        <w:rPr>
          <w:rFonts w:ascii="Liberation Serif" w:hAnsi="Liberation Serif" w:eastAsia="Noto Serif CJK SC"/>
          <w:b w:val="0"/>
          <w:color w:val="000000"/>
          <w:sz w:val="21"/>
        </w:rPr>
        <w:t>1.3 项目愿景与主要工作</w:t>
        <w:tab/>
        <w:t>1</w:t>
      </w:r>
    </w:p>
    <w:p>
      <w:pPr>
        <w:spacing w:line="320" w:lineRule="exact" w:after="0"/>
        <w:ind w:firstLine="0" w:left="340"/>
        <w:tabs>
          <w:tab w:val="right" w:leader="dot" w:pos="9070"/>
        </w:tabs>
      </w:pPr>
      <w:r>
        <w:rPr>
          <w:rFonts w:ascii="Liberation Serif" w:hAnsi="Liberation Serif" w:eastAsia="Noto Serif CJK SC"/>
          <w:b w:val="0"/>
          <w:color w:val="000000"/>
          <w:sz w:val="21"/>
        </w:rPr>
        <w:t>1.4 报告范围与组织结构</w:t>
        <w:tab/>
        <w:t>2</w:t>
      </w:r>
    </w:p>
    <w:p>
      <w:pPr>
        <w:spacing w:line="320" w:lineRule="exact" w:after="0"/>
        <w:ind w:firstLine="0" w:left="0"/>
        <w:tabs>
          <w:tab w:val="right" w:leader="dot" w:pos="9070"/>
        </w:tabs>
      </w:pPr>
      <w:r>
        <w:rPr>
          <w:rFonts w:ascii="Liberation Serif" w:hAnsi="Liberation Serif" w:eastAsia="Noto Serif CJK SC"/>
          <w:b/>
          <w:color w:val="000000"/>
          <w:sz w:val="21"/>
        </w:rPr>
        <w:t>第2章 相关方法与技术</w:t>
        <w:tab/>
        <w:t>3</w:t>
      </w:r>
    </w:p>
    <w:p>
      <w:pPr>
        <w:spacing w:line="320" w:lineRule="exact" w:after="0"/>
        <w:ind w:firstLine="0" w:left="340"/>
        <w:tabs>
          <w:tab w:val="right" w:leader="dot" w:pos="9070"/>
        </w:tabs>
      </w:pPr>
      <w:r>
        <w:rPr>
          <w:rFonts w:ascii="Liberation Serif" w:hAnsi="Liberation Serif" w:eastAsia="Noto Serif CJK SC"/>
          <w:b w:val="0"/>
          <w:color w:val="000000"/>
          <w:sz w:val="21"/>
        </w:rPr>
        <w:t>2.1 UML 与用例驱动分析</w:t>
        <w:tab/>
        <w:t>3</w:t>
      </w:r>
    </w:p>
    <w:p>
      <w:pPr>
        <w:spacing w:line="320" w:lineRule="exact" w:after="0"/>
        <w:ind w:firstLine="0" w:left="340"/>
        <w:tabs>
          <w:tab w:val="right" w:leader="dot" w:pos="9070"/>
        </w:tabs>
      </w:pPr>
      <w:r>
        <w:rPr>
          <w:rFonts w:ascii="Liberation Serif" w:hAnsi="Liberation Serif" w:eastAsia="Noto Serif CJK SC"/>
          <w:b w:val="0"/>
          <w:color w:val="000000"/>
          <w:sz w:val="21"/>
        </w:rPr>
        <w:t>2.2 B/S 结构与模块化单体</w:t>
        <w:tab/>
        <w:t>3</w:t>
      </w:r>
    </w:p>
    <w:p>
      <w:pPr>
        <w:spacing w:line="320" w:lineRule="exact" w:after="0"/>
        <w:ind w:firstLine="0" w:left="340"/>
        <w:tabs>
          <w:tab w:val="right" w:leader="dot" w:pos="9070"/>
        </w:tabs>
      </w:pPr>
      <w:r>
        <w:rPr>
          <w:rFonts w:ascii="Liberation Serif" w:hAnsi="Liberation Serif" w:eastAsia="Noto Serif CJK SC"/>
          <w:b w:val="0"/>
          <w:color w:val="000000"/>
          <w:sz w:val="21"/>
        </w:rPr>
        <w:t>2.3 需求可测试性与信息隐藏</w:t>
        <w:tab/>
        <w:t>3</w:t>
      </w:r>
    </w:p>
    <w:p>
      <w:pPr>
        <w:spacing w:line="320" w:lineRule="exact" w:after="0"/>
        <w:ind w:firstLine="0" w:left="340"/>
        <w:tabs>
          <w:tab w:val="right" w:leader="dot" w:pos="9070"/>
        </w:tabs>
      </w:pPr>
      <w:r>
        <w:rPr>
          <w:rFonts w:ascii="Liberation Serif" w:hAnsi="Liberation Serif" w:eastAsia="Noto Serif CJK SC"/>
          <w:b w:val="0"/>
          <w:color w:val="000000"/>
          <w:sz w:val="21"/>
        </w:rPr>
        <w:t>2.4 数据库事务与独立观察</w:t>
        <w:tab/>
        <w:t>3</w:t>
      </w:r>
    </w:p>
    <w:p>
      <w:pPr>
        <w:spacing w:line="320" w:lineRule="exact" w:after="0"/>
        <w:ind w:firstLine="0" w:left="340"/>
        <w:tabs>
          <w:tab w:val="right" w:leader="dot" w:pos="9070"/>
        </w:tabs>
      </w:pPr>
      <w:r>
        <w:rPr>
          <w:rFonts w:ascii="Liberation Serif" w:hAnsi="Liberation Serif" w:eastAsia="Noto Serif CJK SC"/>
          <w:b w:val="0"/>
          <w:color w:val="000000"/>
          <w:sz w:val="21"/>
        </w:rPr>
        <w:t>2.5 运行证据与课程边界</w:t>
        <w:tab/>
        <w:t>3</w:t>
      </w:r>
    </w:p>
    <w:p>
      <w:pPr>
        <w:spacing w:line="320" w:lineRule="exact" w:after="0"/>
        <w:ind w:firstLine="0" w:left="0"/>
        <w:tabs>
          <w:tab w:val="right" w:leader="dot" w:pos="9070"/>
        </w:tabs>
      </w:pPr>
      <w:r>
        <w:rPr>
          <w:rFonts w:ascii="Liberation Serif" w:hAnsi="Liberation Serif" w:eastAsia="Noto Serif CJK SC"/>
          <w:b/>
          <w:color w:val="000000"/>
          <w:sz w:val="21"/>
        </w:rPr>
        <w:t>第3章 系统需求分析</w:t>
        <w:tab/>
        <w:t>4</w:t>
      </w:r>
    </w:p>
    <w:p>
      <w:pPr>
        <w:spacing w:line="320" w:lineRule="exact" w:after="0"/>
        <w:ind w:firstLine="0" w:left="340"/>
        <w:tabs>
          <w:tab w:val="right" w:leader="dot" w:pos="9070"/>
        </w:tabs>
      </w:pPr>
      <w:r>
        <w:rPr>
          <w:rFonts w:ascii="Liberation Serif" w:hAnsi="Liberation Serif" w:eastAsia="Noto Serif CJK SC"/>
          <w:b w:val="0"/>
          <w:color w:val="000000"/>
          <w:sz w:val="21"/>
        </w:rPr>
        <w:t>3.1 业务范围与现状分析</w:t>
        <w:tab/>
        <w:t>4</w:t>
      </w:r>
    </w:p>
    <w:p>
      <w:pPr>
        <w:spacing w:line="320" w:lineRule="exact" w:after="0"/>
        <w:ind w:firstLine="0" w:left="340"/>
        <w:tabs>
          <w:tab w:val="right" w:leader="dot" w:pos="9070"/>
        </w:tabs>
      </w:pPr>
      <w:r>
        <w:rPr>
          <w:rFonts w:ascii="Liberation Serif" w:hAnsi="Liberation Serif" w:eastAsia="Noto Serif CJK SC"/>
          <w:b w:val="0"/>
          <w:color w:val="000000"/>
          <w:sz w:val="21"/>
        </w:rPr>
        <w:t>3.2 系统总体目标与改进业务流程</w:t>
        <w:tab/>
        <w:t>7</w:t>
      </w:r>
    </w:p>
    <w:p>
      <w:pPr>
        <w:spacing w:line="320" w:lineRule="exact" w:after="0"/>
        <w:ind w:firstLine="0" w:left="340"/>
        <w:tabs>
          <w:tab w:val="right" w:leader="dot" w:pos="9070"/>
        </w:tabs>
      </w:pPr>
      <w:r>
        <w:rPr>
          <w:rFonts w:ascii="Liberation Serif" w:hAnsi="Liberation Serif" w:eastAsia="Noto Serif CJK SC"/>
          <w:b w:val="0"/>
          <w:color w:val="000000"/>
          <w:sz w:val="21"/>
        </w:rPr>
        <w:t>3.3 用户需求分析</w:t>
        <w:tab/>
        <w:t>11</w:t>
      </w:r>
    </w:p>
    <w:p>
      <w:pPr>
        <w:spacing w:line="320" w:lineRule="exact" w:after="0"/>
        <w:ind w:firstLine="0" w:left="340"/>
        <w:tabs>
          <w:tab w:val="right" w:leader="dot" w:pos="9070"/>
        </w:tabs>
      </w:pPr>
      <w:r>
        <w:rPr>
          <w:rFonts w:ascii="Liberation Serif" w:hAnsi="Liberation Serif" w:eastAsia="Noto Serif CJK SC"/>
          <w:b w:val="0"/>
          <w:color w:val="000000"/>
          <w:sz w:val="21"/>
        </w:rPr>
        <w:t>3.4 需求清单与优先级</w:t>
        <w:tab/>
        <w:t>11</w:t>
      </w:r>
    </w:p>
    <w:p>
      <w:pPr>
        <w:spacing w:line="320" w:lineRule="exact" w:after="0"/>
        <w:ind w:firstLine="0" w:left="340"/>
        <w:tabs>
          <w:tab w:val="right" w:leader="dot" w:pos="9070"/>
        </w:tabs>
      </w:pPr>
      <w:r>
        <w:rPr>
          <w:rFonts w:ascii="Liberation Serif" w:hAnsi="Liberation Serif" w:eastAsia="Noto Serif CJK SC"/>
          <w:b w:val="0"/>
          <w:color w:val="000000"/>
          <w:sz w:val="21"/>
        </w:rPr>
        <w:t>3.5 系统用例分析</w:t>
        <w:tab/>
        <w:t>11</w:t>
      </w:r>
    </w:p>
    <w:p>
      <w:pPr>
        <w:spacing w:line="320" w:lineRule="exact" w:after="0"/>
        <w:ind w:firstLine="0" w:left="340"/>
        <w:tabs>
          <w:tab w:val="right" w:leader="dot" w:pos="9070"/>
        </w:tabs>
      </w:pPr>
      <w:r>
        <w:rPr>
          <w:rFonts w:ascii="Liberation Serif" w:hAnsi="Liberation Serif" w:eastAsia="Noto Serif CJK SC"/>
          <w:b w:val="0"/>
          <w:color w:val="000000"/>
          <w:sz w:val="21"/>
        </w:rPr>
        <w:t>3.6 用例规约与失败保证</w:t>
        <w:tab/>
        <w:t>17</w:t>
      </w:r>
    </w:p>
    <w:p>
      <w:pPr>
        <w:spacing w:line="320" w:lineRule="exact" w:after="0"/>
        <w:ind w:firstLine="0" w:left="340"/>
        <w:tabs>
          <w:tab w:val="right" w:leader="dot" w:pos="9070"/>
        </w:tabs>
      </w:pPr>
      <w:r>
        <w:rPr>
          <w:rFonts w:ascii="Liberation Serif" w:hAnsi="Liberation Serif" w:eastAsia="Noto Serif CJK SC"/>
          <w:b w:val="0"/>
          <w:color w:val="000000"/>
          <w:sz w:val="21"/>
        </w:rPr>
        <w:t>3.7 业务规则与非功能性需求</w:t>
        <w:tab/>
        <w:t>17</w:t>
      </w:r>
    </w:p>
    <w:p>
      <w:pPr>
        <w:spacing w:line="320" w:lineRule="exact" w:after="0"/>
        <w:ind w:firstLine="0" w:left="340"/>
        <w:tabs>
          <w:tab w:val="right" w:leader="dot" w:pos="9070"/>
        </w:tabs>
      </w:pPr>
      <w:r>
        <w:rPr>
          <w:rFonts w:ascii="Liberation Serif" w:hAnsi="Liberation Serif" w:eastAsia="Noto Serif CJK SC"/>
          <w:b w:val="0"/>
          <w:color w:val="000000"/>
          <w:sz w:val="21"/>
        </w:rPr>
        <w:t>3.8 财务与设备管理的细化需求</w:t>
        <w:tab/>
        <w:t>19</w:t>
      </w:r>
    </w:p>
    <w:p>
      <w:pPr>
        <w:spacing w:line="320" w:lineRule="exact" w:after="0"/>
        <w:ind w:firstLine="0" w:left="340"/>
        <w:tabs>
          <w:tab w:val="right" w:leader="dot" w:pos="9070"/>
        </w:tabs>
      </w:pPr>
      <w:r>
        <w:rPr>
          <w:rFonts w:ascii="Liberation Serif" w:hAnsi="Liberation Serif" w:eastAsia="Noto Serif CJK SC"/>
          <w:b w:val="0"/>
          <w:color w:val="000000"/>
          <w:sz w:val="21"/>
        </w:rPr>
        <w:t>3.9 通知进度与监测失效需求</w:t>
        <w:tab/>
        <w:t>19</w:t>
      </w:r>
    </w:p>
    <w:p>
      <w:pPr>
        <w:spacing w:line="320" w:lineRule="exact" w:after="0"/>
        <w:ind w:firstLine="0" w:left="0"/>
        <w:tabs>
          <w:tab w:val="right" w:leader="dot" w:pos="9070"/>
        </w:tabs>
      </w:pPr>
      <w:r>
        <w:rPr>
          <w:rFonts w:ascii="Liberation Serif" w:hAnsi="Liberation Serif" w:eastAsia="Noto Serif CJK SC"/>
          <w:b/>
          <w:color w:val="000000"/>
          <w:sz w:val="21"/>
        </w:rPr>
        <w:t>第4章 系统设计</w:t>
        <w:tab/>
        <w:t>21</w:t>
      </w:r>
    </w:p>
    <w:p>
      <w:pPr>
        <w:spacing w:line="320" w:lineRule="exact" w:after="0"/>
        <w:ind w:firstLine="0" w:left="340"/>
        <w:tabs>
          <w:tab w:val="right" w:leader="dot" w:pos="9070"/>
        </w:tabs>
      </w:pPr>
      <w:r>
        <w:rPr>
          <w:rFonts w:ascii="Liberation Serif" w:hAnsi="Liberation Serif" w:eastAsia="Noto Serif CJK SC"/>
          <w:b w:val="0"/>
          <w:color w:val="000000"/>
          <w:sz w:val="21"/>
        </w:rPr>
        <w:t>4.1 领域关系与状态模型</w:t>
        <w:tab/>
        <w:t>21</w:t>
      </w:r>
    </w:p>
    <w:p>
      <w:pPr>
        <w:spacing w:line="320" w:lineRule="exact" w:after="0"/>
        <w:ind w:firstLine="0" w:left="340"/>
        <w:tabs>
          <w:tab w:val="right" w:leader="dot" w:pos="9070"/>
        </w:tabs>
      </w:pPr>
      <w:r>
        <w:rPr>
          <w:rFonts w:ascii="Liberation Serif" w:hAnsi="Liberation Serif" w:eastAsia="Noto Serif CJK SC"/>
          <w:b w:val="0"/>
          <w:color w:val="000000"/>
          <w:sz w:val="21"/>
        </w:rPr>
        <w:t>4.2 模块职责与接口合同</w:t>
        <w:tab/>
        <w:t>23</w:t>
      </w:r>
    </w:p>
    <w:p>
      <w:pPr>
        <w:spacing w:line="320" w:lineRule="exact" w:after="0"/>
        <w:ind w:firstLine="0" w:left="340"/>
        <w:tabs>
          <w:tab w:val="right" w:leader="dot" w:pos="9070"/>
        </w:tabs>
      </w:pPr>
      <w:r>
        <w:rPr>
          <w:rFonts w:ascii="Liberation Serif" w:hAnsi="Liberation Serif" w:eastAsia="Noto Serif CJK SC"/>
          <w:b w:val="0"/>
          <w:color w:val="000000"/>
          <w:sz w:val="21"/>
        </w:rPr>
        <w:t>4.3 结果核对与只读模式</w:t>
        <w:tab/>
        <w:t>24</w:t>
      </w:r>
    </w:p>
    <w:p>
      <w:pPr>
        <w:spacing w:line="320" w:lineRule="exact" w:after="0"/>
        <w:ind w:firstLine="0" w:left="340"/>
        <w:tabs>
          <w:tab w:val="right" w:leader="dot" w:pos="9070"/>
        </w:tabs>
      </w:pPr>
      <w:r>
        <w:rPr>
          <w:rFonts w:ascii="Liberation Serif" w:hAnsi="Liberation Serif" w:eastAsia="Noto Serif CJK SC"/>
          <w:b w:val="0"/>
          <w:color w:val="000000"/>
          <w:sz w:val="21"/>
        </w:rPr>
        <w:t>4.4 账号安全封禁与业务退役</w:t>
        <w:tab/>
        <w:t>24</w:t>
      </w:r>
    </w:p>
    <w:p>
      <w:pPr>
        <w:spacing w:line="320" w:lineRule="exact" w:after="0"/>
        <w:ind w:firstLine="0" w:left="340"/>
        <w:tabs>
          <w:tab w:val="right" w:leader="dot" w:pos="9070"/>
        </w:tabs>
      </w:pPr>
      <w:r>
        <w:rPr>
          <w:rFonts w:ascii="Liberation Serif" w:hAnsi="Liberation Serif" w:eastAsia="Noto Serif CJK SC"/>
          <w:b w:val="0"/>
          <w:color w:val="000000"/>
          <w:sz w:val="21"/>
        </w:rPr>
        <w:t>4.5 生产准备与发布门槛</w:t>
        <w:tab/>
        <w:t>25</w:t>
      </w:r>
    </w:p>
    <w:p>
      <w:pPr>
        <w:spacing w:line="320" w:lineRule="exact" w:after="0"/>
        <w:ind w:firstLine="0" w:left="340"/>
        <w:tabs>
          <w:tab w:val="right" w:leader="dot" w:pos="9070"/>
        </w:tabs>
      </w:pPr>
      <w:r>
        <w:rPr>
          <w:rFonts w:ascii="Liberation Serif" w:hAnsi="Liberation Serif" w:eastAsia="Noto Serif CJK SC"/>
          <w:b w:val="0"/>
          <w:color w:val="000000"/>
          <w:sz w:val="21"/>
        </w:rPr>
        <w:t>4.6 设计原则在本项目中的应用</w:t>
        <w:tab/>
        <w:t>26</w:t>
      </w:r>
    </w:p>
    <w:p>
      <w:pPr>
        <w:spacing w:line="320" w:lineRule="exact" w:after="0"/>
        <w:ind w:firstLine="0" w:left="340"/>
        <w:tabs>
          <w:tab w:val="right" w:leader="dot" w:pos="9070"/>
        </w:tabs>
      </w:pPr>
      <w:r>
        <w:rPr>
          <w:rFonts w:ascii="Liberation Serif" w:hAnsi="Liberation Serif" w:eastAsia="Noto Serif CJK SC"/>
          <w:b w:val="0"/>
          <w:color w:val="000000"/>
          <w:sz w:val="21"/>
        </w:rPr>
        <w:t>4.7 协调与通知的数据责任</w:t>
        <w:tab/>
        <w:t>27</w:t>
      </w:r>
    </w:p>
    <w:p>
      <w:pPr>
        <w:spacing w:line="320" w:lineRule="exact" w:after="0"/>
        <w:ind w:firstLine="0" w:left="340"/>
        <w:tabs>
          <w:tab w:val="right" w:leader="dot" w:pos="9070"/>
        </w:tabs>
      </w:pPr>
      <w:r>
        <w:rPr>
          <w:rFonts w:ascii="Liberation Serif" w:hAnsi="Liberation Serif" w:eastAsia="Noto Serif CJK SC"/>
          <w:b w:val="0"/>
          <w:color w:val="000000"/>
          <w:sz w:val="21"/>
        </w:rPr>
        <w:t>4.8 任务状态与独立复核</w:t>
        <w:tab/>
        <w:t>28</w:t>
      </w:r>
    </w:p>
    <w:p>
      <w:pPr>
        <w:spacing w:line="320" w:lineRule="exact" w:after="0"/>
        <w:ind w:firstLine="0" w:left="340"/>
        <w:tabs>
          <w:tab w:val="right" w:leader="dot" w:pos="9070"/>
        </w:tabs>
      </w:pPr>
      <w:r>
        <w:rPr>
          <w:rFonts w:ascii="Liberation Serif" w:hAnsi="Liberation Serif" w:eastAsia="Noto Serif CJK SC"/>
          <w:b w:val="0"/>
          <w:color w:val="000000"/>
          <w:sz w:val="21"/>
        </w:rPr>
        <w:t>4.9 RC运行路径与安全边界</w:t>
        <w:tab/>
        <w:t>28</w:t>
      </w:r>
    </w:p>
    <w:p>
      <w:pPr>
        <w:spacing w:line="320" w:lineRule="exact" w:after="0"/>
        <w:ind w:firstLine="0" w:left="340"/>
        <w:tabs>
          <w:tab w:val="right" w:leader="dot" w:pos="9070"/>
        </w:tabs>
      </w:pPr>
      <w:r>
        <w:rPr>
          <w:rFonts w:ascii="Liberation Serif" w:hAnsi="Liberation Serif" w:eastAsia="Noto Serif CJK SC"/>
          <w:b w:val="0"/>
          <w:color w:val="000000"/>
          <w:sz w:val="21"/>
        </w:rPr>
        <w:t>4.10 资金证据与设备费用的模块合同</w:t>
        <w:tab/>
        <w:t>29</w:t>
      </w:r>
    </w:p>
    <w:p>
      <w:pPr>
        <w:spacing w:line="320" w:lineRule="exact" w:after="0"/>
        <w:ind w:firstLine="0" w:left="340"/>
        <w:tabs>
          <w:tab w:val="right" w:leader="dot" w:pos="9070"/>
        </w:tabs>
      </w:pPr>
      <w:r>
        <w:rPr>
          <w:rFonts w:ascii="Liberation Serif" w:hAnsi="Liberation Serif" w:eastAsia="Noto Serif CJK SC"/>
          <w:b w:val="0"/>
          <w:color w:val="000000"/>
          <w:sz w:val="21"/>
        </w:rPr>
        <w:t>4.11 请求追踪与安全日志</w:t>
        <w:tab/>
        <w:t>29</w:t>
      </w:r>
    </w:p>
    <w:p>
      <w:pPr>
        <w:spacing w:line="320" w:lineRule="exact" w:after="0"/>
        <w:ind w:firstLine="0" w:left="340"/>
        <w:tabs>
          <w:tab w:val="right" w:leader="dot" w:pos="9070"/>
        </w:tabs>
      </w:pPr>
      <w:r>
        <w:rPr>
          <w:rFonts w:ascii="Liberation Serif" w:hAnsi="Liberation Serif" w:eastAsia="Noto Serif CJK SC"/>
          <w:b w:val="0"/>
          <w:color w:val="000000"/>
          <w:sz w:val="21"/>
        </w:rPr>
        <w:t>4.12 通知心跳与私有条件监测</w:t>
        <w:tab/>
        <w:t>30</w:t>
      </w:r>
    </w:p>
    <w:p>
      <w:pPr>
        <w:spacing w:line="320" w:lineRule="exact" w:after="0"/>
        <w:ind w:firstLine="0" w:left="340"/>
        <w:tabs>
          <w:tab w:val="right" w:leader="dot" w:pos="9070"/>
        </w:tabs>
      </w:pPr>
      <w:r>
        <w:rPr>
          <w:rFonts w:ascii="Liberation Serif" w:hAnsi="Liberation Serif" w:eastAsia="Noto Serif CJK SC"/>
          <w:b w:val="0"/>
          <w:color w:val="000000"/>
          <w:sz w:val="21"/>
        </w:rPr>
        <w:t>4.13 状态和存储的边界</w:t>
        <w:tab/>
        <w:t>30</w:t>
      </w:r>
    </w:p>
    <w:p>
      <w:pPr>
        <w:spacing w:line="320" w:lineRule="exact" w:after="0"/>
        <w:ind w:firstLine="0" w:left="0"/>
        <w:tabs>
          <w:tab w:val="right" w:leader="dot" w:pos="9070"/>
        </w:tabs>
      </w:pPr>
      <w:r>
        <w:rPr>
          <w:rFonts w:ascii="Liberation Serif" w:hAnsi="Liberation Serif" w:eastAsia="Noto Serif CJK SC"/>
          <w:b/>
          <w:color w:val="000000"/>
          <w:sz w:val="21"/>
        </w:rPr>
        <w:t>第5章 系统实现与测试</w:t>
        <w:tab/>
        <w:t>32</w:t>
      </w:r>
    </w:p>
    <w:p>
      <w:pPr>
        <w:spacing w:line="320" w:lineRule="exact" w:after="0"/>
        <w:ind w:firstLine="0" w:left="340"/>
        <w:tabs>
          <w:tab w:val="right" w:leader="dot" w:pos="9070"/>
        </w:tabs>
      </w:pPr>
      <w:r>
        <w:rPr>
          <w:rFonts w:ascii="Liberation Serif" w:hAnsi="Liberation Serif" w:eastAsia="Noto Serif CJK SC"/>
          <w:b w:val="0"/>
          <w:color w:val="000000"/>
          <w:sz w:val="21"/>
        </w:rPr>
        <w:t>5.1 软件与硬件环境</w:t>
        <w:tab/>
        <w:t>32</w:t>
      </w:r>
    </w:p>
    <w:p>
      <w:pPr>
        <w:spacing w:line="320" w:lineRule="exact" w:after="0"/>
        <w:ind w:firstLine="0" w:left="340"/>
        <w:tabs>
          <w:tab w:val="right" w:leader="dot" w:pos="9070"/>
        </w:tabs>
      </w:pPr>
      <w:r>
        <w:rPr>
          <w:rFonts w:ascii="Liberation Serif" w:hAnsi="Liberation Serif" w:eastAsia="Noto Serif CJK SC"/>
          <w:b w:val="0"/>
          <w:color w:val="000000"/>
          <w:sz w:val="21"/>
        </w:rPr>
        <w:t>5.2 核心功能实现说明</w:t>
        <w:tab/>
        <w:t>32</w:t>
      </w:r>
    </w:p>
    <w:p>
      <w:pPr>
        <w:spacing w:line="320" w:lineRule="exact" w:after="0"/>
        <w:ind w:firstLine="0" w:left="340"/>
        <w:tabs>
          <w:tab w:val="right" w:leader="dot" w:pos="9070"/>
        </w:tabs>
      </w:pPr>
      <w:r>
        <w:rPr>
          <w:rFonts w:ascii="Liberation Serif" w:hAnsi="Liberation Serif" w:eastAsia="Noto Serif CJK SC"/>
          <w:b w:val="0"/>
          <w:color w:val="000000"/>
          <w:sz w:val="21"/>
        </w:rPr>
        <w:t>5.3 历史运行界面与当前观察</w:t>
        <w:tab/>
        <w:t>32</w:t>
      </w:r>
    </w:p>
    <w:p>
      <w:pPr>
        <w:spacing w:line="320" w:lineRule="exact" w:after="0"/>
        <w:ind w:firstLine="0" w:left="340"/>
        <w:tabs>
          <w:tab w:val="right" w:leader="dot" w:pos="9070"/>
        </w:tabs>
      </w:pPr>
      <w:r>
        <w:rPr>
          <w:rFonts w:ascii="Liberation Serif" w:hAnsi="Liberation Serif" w:eastAsia="Noto Serif CJK SC"/>
          <w:b w:val="0"/>
          <w:color w:val="000000"/>
          <w:sz w:val="21"/>
        </w:rPr>
        <w:t>5.4 测试设计与执行结果</w:t>
        <w:tab/>
        <w:t>34</w:t>
      </w:r>
    </w:p>
    <w:p>
      <w:pPr>
        <w:spacing w:line="320" w:lineRule="exact" w:after="0"/>
        <w:ind w:firstLine="0" w:left="340"/>
        <w:tabs>
          <w:tab w:val="right" w:leader="dot" w:pos="9070"/>
        </w:tabs>
      </w:pPr>
      <w:r>
        <w:rPr>
          <w:rFonts w:ascii="Liberation Serif" w:hAnsi="Liberation Serif" w:eastAsia="Noto Serif CJK SC"/>
          <w:b w:val="0"/>
          <w:color w:val="000000"/>
          <w:sz w:val="21"/>
        </w:rPr>
        <w:t>5.5 Mac受保护更新与恢复</w:t>
        <w:tab/>
        <w:t>35</w:t>
      </w:r>
    </w:p>
    <w:p>
      <w:pPr>
        <w:spacing w:line="320" w:lineRule="exact" w:after="0"/>
        <w:ind w:firstLine="0" w:left="340"/>
        <w:tabs>
          <w:tab w:val="right" w:leader="dot" w:pos="9070"/>
        </w:tabs>
      </w:pPr>
      <w:r>
        <w:rPr>
          <w:rFonts w:ascii="Liberation Serif" w:hAnsi="Liberation Serif" w:eastAsia="Noto Serif CJK SC"/>
          <w:b w:val="0"/>
          <w:color w:val="000000"/>
          <w:sz w:val="21"/>
        </w:rPr>
        <w:t>5.6 需求追踪</w:t>
        <w:tab/>
        <w:t>36</w:t>
      </w:r>
    </w:p>
    <w:p>
      <w:pPr>
        <w:spacing w:line="320" w:lineRule="exact" w:after="0"/>
        <w:ind w:firstLine="0" w:left="0"/>
        <w:tabs>
          <w:tab w:val="right" w:leader="dot" w:pos="9070"/>
        </w:tabs>
      </w:pPr>
      <w:r>
        <w:rPr>
          <w:rFonts w:ascii="Liberation Serif" w:hAnsi="Liberation Serif" w:eastAsia="Noto Serif CJK SC"/>
          <w:b/>
          <w:color w:val="000000"/>
          <w:sz w:val="21"/>
        </w:rPr>
        <w:t>第6章 总结与展望</w:t>
        <w:tab/>
        <w:t>37</w:t>
      </w:r>
    </w:p>
    <w:p>
      <w:pPr>
        <w:spacing w:line="320" w:lineRule="exact" w:after="0"/>
        <w:ind w:firstLine="0" w:left="340"/>
        <w:tabs>
          <w:tab w:val="right" w:leader="dot" w:pos="9070"/>
        </w:tabs>
      </w:pPr>
      <w:r>
        <w:rPr>
          <w:rFonts w:ascii="Liberation Serif" w:hAnsi="Liberation Serif" w:eastAsia="Noto Serif CJK SC"/>
          <w:b w:val="0"/>
          <w:color w:val="000000"/>
          <w:sz w:val="21"/>
        </w:rPr>
        <w:t>6.1 阶段工作总结</w:t>
        <w:tab/>
        <w:t>37</w:t>
      </w:r>
    </w:p>
    <w:p>
      <w:pPr>
        <w:spacing w:line="320" w:lineRule="exact" w:after="0"/>
        <w:ind w:firstLine="0" w:left="340"/>
        <w:tabs>
          <w:tab w:val="right" w:leader="dot" w:pos="9070"/>
        </w:tabs>
      </w:pPr>
      <w:r>
        <w:rPr>
          <w:rFonts w:ascii="Liberation Serif" w:hAnsi="Liberation Serif" w:eastAsia="Noto Serif CJK SC"/>
          <w:b w:val="0"/>
          <w:color w:val="000000"/>
          <w:sz w:val="21"/>
        </w:rPr>
        <w:t>6.2 不足与后续工作</w:t>
        <w:tab/>
        <w:t>37</w:t>
      </w:r>
    </w:p>
    <w:p>
      <w:pPr>
        <w:spacing w:line="320" w:lineRule="exact" w:after="0"/>
        <w:ind w:firstLine="0" w:left="0"/>
        <w:tabs>
          <w:tab w:val="right" w:leader="dot" w:pos="9070"/>
        </w:tabs>
      </w:pPr>
      <w:r>
        <w:rPr>
          <w:rFonts w:ascii="Liberation Serif" w:hAnsi="Liberation Serif" w:eastAsia="Noto Serif CJK SC"/>
          <w:b/>
          <w:color w:val="000000"/>
          <w:sz w:val="21"/>
        </w:rPr>
        <w:t>参考文献</w:t>
        <w:tab/>
        <w:t>38</w:t>
      </w:r>
    </w:p>
    <w:p>
      <w:pPr>
        <w:spacing w:line="320" w:lineRule="exact" w:after="0"/>
        <w:ind w:firstLine="0" w:left="0"/>
        <w:tabs>
          <w:tab w:val="right" w:leader="dot" w:pos="9070"/>
        </w:tabs>
      </w:pPr>
      <w:r>
        <w:rPr>
          <w:rFonts w:ascii="Liberation Serif" w:hAnsi="Liberation Serif" w:eastAsia="Noto Serif CJK SC"/>
          <w:b/>
          <w:color w:val="000000"/>
          <w:sz w:val="21"/>
        </w:rPr>
        <w:t>附录A 基础系统用例规约</w:t>
        <w:tab/>
        <w:t>40</w:t>
      </w:r>
    </w:p>
    <w:p>
      <w:pPr>
        <w:spacing w:line="320" w:lineRule="exact" w:after="0"/>
        <w:ind w:firstLine="0" w:left="0"/>
        <w:tabs>
          <w:tab w:val="right" w:leader="dot" w:pos="9070"/>
        </w:tabs>
      </w:pPr>
      <w:r>
        <w:rPr>
          <w:rFonts w:ascii="Liberation Serif" w:hAnsi="Liberation Serif" w:eastAsia="Noto Serif CJK SC"/>
          <w:b/>
          <w:color w:val="000000"/>
          <w:sz w:val="21"/>
        </w:rPr>
        <w:t>附录B 维护 协调与通知用例规约</w:t>
        <w:tab/>
        <w:t>57</w:t>
      </w:r>
    </w:p>
    <w:p>
      <w:pPr>
        <w:sectPr>
          <w:headerReference w:type="default" r:id="rId56"/>
          <w:footerReference w:type="default" r:id="rId57"/>
          <w:pgSz w:w="11906" w:h="16838"/>
          <w:pgMar w:top="1417" w:right="1134" w:bottom="1304" w:left="1701" w:header="737" w:footer="680" w:gutter="0"/>
          <w:cols w:space="720"/>
          <w:docGrid w:linePitch="360"/>
          <w:pgNumType w:start="1" w:fmt="upperRoman"/>
        </w:sectPr>
      </w:pPr>
    </w:p>
    <w:p>
      <w:pPr>
        <w:pStyle w:val="Heading1"/>
      </w:pPr>
      <w:r>
        <w:rPr>
          <w:rFonts w:ascii="Liberation Serif" w:hAnsi="Liberation Serif" w:eastAsia="Noto Sans CJK SC"/>
          <w:b/>
          <w:color w:val="000000"/>
          <w:sz w:val="32"/>
        </w:rPr>
        <w:t>第1章 绪论</w:t>
      </w:r>
    </w:p>
    <w:p>
      <w:pPr>
        <w:spacing w:after="0"/>
        <w:ind w:firstLine="0"/>
      </w:pPr>
      <w:r>
        <w:rPr>
          <w:rFonts w:ascii="Liberation Serif" w:hAnsi="Liberation Serif" w:eastAsia="Noto Serif CJK SC"/>
          <w:b w:val="0"/>
          <w:color w:val="000000"/>
          <w:sz w:val="21"/>
        </w:rPr>
        <w:t>逻辑链  案例需求 → 业务与系统模型 → 模块合同 → 可运行实现 → 分层验证 → 受保护交付。</w:t>
      </w:r>
    </w:p>
    <w:p>
      <w:pPr>
        <w:pStyle w:val="Heading2"/>
      </w:pPr>
      <w:r>
        <w:rPr>
          <w:rFonts w:ascii="Liberation Serif" w:hAnsi="Liberation Serif" w:eastAsia="Noto Sans CJK SC"/>
          <w:b/>
          <w:color w:val="000000"/>
          <w:sz w:val="28"/>
        </w:rPr>
        <w:t>1.1 项目背景与实践意义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ADC案例描述广东地区15家牙科诊所及三年内数量翻倍的扩张计划。现有管理情境以相对独立的诊所和总部人工监督为特征，管理者关注跨店治疗标准、患者取消情况、牙医技能组合和个人创造的价值。案例提出以标准化、高质量数据支撑信息系统，而非仅建立一个预约页面。[1]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本项目将问题界定为：不同岗位能否围绕同一份业务事实协作，以及使用者能否正确理解当前身份、业务范围、办理状态和管理口径。候补排程与操作引导属于经用户确认的扩展需求，并非案例原文逐项规定的功能。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案例中的15家诊所与扩张计划是原始问题背景；当前产品目标是一家拥有约5至20家诊所的连锁，已执行容量基线仅覆盖五家。不能把业务愿景、已实现功能和已测规模视为同一结论。</w:t>
      </w:r>
    </w:p>
    <w:p>
      <w:pPr>
        <w:pStyle w:val="Heading2"/>
      </w:pPr>
      <w:r>
        <w:rPr>
          <w:rFonts w:ascii="Liberation Serif" w:hAnsi="Liberation Serif" w:eastAsia="Noto Sans CJK SC"/>
          <w:b/>
          <w:color w:val="000000"/>
          <w:sz w:val="28"/>
        </w:rPr>
        <w:t>1.2 案例依据与研究方法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以课程提供案例及note讲义为核心，结合现有代码、受控业务规约和实际验收证据开展迭代。note 3要求区分需求与设计并使需求可测试；note 5要求关注点分离、简单性和受限可见性。对标成熟系统只借鉴工作流，不以厂商文档推导比较性能或安全结论。</w:t>
      </w:r>
    </w:p>
    <w:p>
      <w:pPr>
        <w:pStyle w:val="Heading2"/>
      </w:pPr>
      <w:r>
        <w:rPr>
          <w:rFonts w:ascii="Liberation Serif" w:hAnsi="Liberation Serif" w:eastAsia="Noto Sans CJK SC"/>
          <w:b/>
          <w:color w:val="000000"/>
          <w:sz w:val="28"/>
        </w:rPr>
        <w:t>1.3 项目愿景与主要工作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建设一套以统一业务记录为基础、以岗位任务为入口的连锁运营系统，使患者能够明确安排服务，工作人员能够在正确身份和诊所范围内办理业务，管理者能够核查结果来源、缺失情况及计算口径。系统不替代专业诊疗判断，也不以自动化程度替代人工责任。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当前主要工作包括完整接诊链、独立资金审核、设备维护责任、跨店权限隔离、资金凭据与逐笔核对，以及安全诊断和通知处理观察。后续持续治疗、椅位/房间等共享资源及长期独立运行分别建模和验收。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表1-1 项目目标与可观察结果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3855"/>
        <w:gridCol w:w="3175"/>
      </w:tblGrid>
      <w:tr>
        <w:trPr>
          <w:cantSplit/>
          <w:tblHeader/>
          <w:cantSplit/>
        </w:trPr>
        <w:tc>
          <w:tcPr>
            <w:tcW w:type="dxa" w:w="1871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left w:val="nil" w:sz="4" w:color="000000"/>
              <w:right w:val="nil" w:sz="4" w:color="000000"/>
              <w:top w:val="single" w:sz="10" w:color="000000"/>
              <w:bottom w:val="single" w:sz="6" w:color="000000"/>
            </w:tcBorders>
          </w:tcPr>
          <w:p>
            <w:pPr>
              <w:keepNext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/>
                <w:color w:val="000000"/>
                <w:sz w:val="21"/>
                <w:lang w:val="zh-CN" w:eastAsia="zh-CN"/>
              </w:rPr>
              <w:t>目标</w:t>
            </w:r>
          </w:p>
        </w:tc>
        <w:tc>
          <w:tcPr>
            <w:tcW w:type="dxa" w:w="385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left w:val="nil" w:sz="4" w:color="000000"/>
              <w:right w:val="nil" w:sz="4" w:color="000000"/>
              <w:top w:val="single" w:sz="10" w:color="000000"/>
              <w:bottom w:val="single" w:sz="6" w:color="000000"/>
            </w:tcBorders>
          </w:tcPr>
          <w:p>
            <w:pPr>
              <w:keepNext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/>
                <w:color w:val="000000"/>
                <w:sz w:val="21"/>
                <w:lang w:val="zh-CN" w:eastAsia="zh-CN"/>
              </w:rPr>
              <w:t>预期结果</w:t>
            </w:r>
          </w:p>
        </w:tc>
        <w:tc>
          <w:tcPr>
            <w:tcW w:type="dxa" w:w="317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left w:val="nil" w:sz="4" w:color="000000"/>
              <w:right w:val="nil" w:sz="4" w:color="000000"/>
              <w:top w:val="single" w:sz="10" w:color="000000"/>
              <w:bottom w:val="single" w:sz="6" w:color="000000"/>
            </w:tcBorders>
          </w:tcPr>
          <w:p>
            <w:pPr>
              <w:keepNext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/>
                <w:color w:val="000000"/>
                <w:sz w:val="21"/>
                <w:lang w:val="zh-CN" w:eastAsia="zh-CN"/>
              </w:rPr>
              <w:t>主要核验对象</w:t>
            </w:r>
          </w:p>
        </w:tc>
      </w:tr>
      <w:tr>
        <w:trPr>
          <w:cantSplit/>
          <w:cantSplit/>
        </w:trPr>
        <w:tc>
          <w:tcPr>
            <w:tcW w:type="dxa" w:w="1871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G1　资料一致</w:t>
            </w:r>
          </w:p>
        </w:tc>
        <w:tc>
          <w:tcPr>
            <w:tcW w:type="dxa" w:w="385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跨店复用患者编号，分别记录多过敏与多资格</w:t>
            </w:r>
          </w:p>
        </w:tc>
        <w:tc>
          <w:tcPr>
            <w:tcW w:type="dxa" w:w="317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档案关系与跨店查询</w:t>
            </w:r>
          </w:p>
        </w:tc>
      </w:tr>
      <w:tr>
        <w:trPr>
          <w:cantSplit/>
          <w:cantSplit/>
        </w:trPr>
        <w:tc>
          <w:tcPr>
            <w:tcW w:type="dxa" w:w="1871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G2　业务闭环</w:t>
            </w:r>
          </w:p>
        </w:tc>
        <w:tc>
          <w:tcPr>
            <w:tcW w:type="dxa" w:w="385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预约、到诊、实际治疗、结算及更正可以关联核对</w:t>
            </w:r>
          </w:p>
        </w:tc>
        <w:tc>
          <w:tcPr>
            <w:tcW w:type="dxa" w:w="317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状态、账单与历史版本</w:t>
            </w:r>
          </w:p>
        </w:tc>
      </w:tr>
      <w:tr>
        <w:trPr>
          <w:cantSplit/>
          <w:cantSplit/>
        </w:trPr>
        <w:tc>
          <w:tcPr>
            <w:tcW w:type="dxa" w:w="1871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G3　操作可理解</w:t>
            </w:r>
          </w:p>
        </w:tc>
        <w:tc>
          <w:tcPr>
            <w:tcW w:type="dxa" w:w="385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身份入口分离，唯一身份直达，手动引导不扩权</w:t>
            </w:r>
          </w:p>
        </w:tc>
        <w:tc>
          <w:tcPr>
            <w:tcW w:type="dxa" w:w="317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工作上下文与任务路径</w:t>
            </w:r>
          </w:p>
        </w:tc>
      </w:tr>
      <w:tr>
        <w:trPr>
          <w:cantSplit/>
          <w:cantSplit/>
        </w:trPr>
        <w:tc>
          <w:tcPr>
            <w:tcW w:type="dxa" w:w="1871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G4　结果可解释</w:t>
            </w:r>
          </w:p>
        </w:tc>
        <w:tc>
          <w:tcPr>
            <w:tcW w:type="dxa" w:w="385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缺失不等于零，指标带分母，收入只计当前版本</w:t>
            </w:r>
          </w:p>
        </w:tc>
        <w:tc>
          <w:tcPr>
            <w:tcW w:type="dxa" w:w="317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统计粒度与季度核对</w:t>
            </w:r>
          </w:p>
        </w:tc>
      </w:tr>
      <w:tr>
        <w:trPr>
          <w:cantSplit/>
          <w:cantSplit/>
        </w:trPr>
        <w:tc>
          <w:tcPr>
            <w:tcW w:type="dxa" w:w="1871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10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G5　协作可控</w:t>
            </w:r>
          </w:p>
        </w:tc>
        <w:tc>
          <w:tcPr>
            <w:tcW w:type="dxa" w:w="385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10" w:color="000000"/>
            </w:tcBorders>
          </w:tcPr>
          <w:p>
            <w:pPr>
              <w:keepNext w:val="0"/>
              <w:spacing w:before="40" w:after="40" w:line="310" w:lineRule="exact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承诺、接收控制、任务与消息分开；已有安排不会被隐式撤销</w:t>
            </w:r>
          </w:p>
        </w:tc>
        <w:tc>
          <w:tcPr>
            <w:tcW w:type="dxa" w:w="317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10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候补、权限与异常响应</w:t>
            </w:r>
          </w:p>
        </w:tc>
      </w:tr>
    </w:tbl>
    <w:p>
      <w:pPr>
        <w:pStyle w:val="Heading2"/>
      </w:pPr>
      <w:r>
        <w:rPr>
          <w:rFonts w:ascii="Liberation Serif" w:hAnsi="Liberation Serif" w:eastAsia="Noto Sans CJK SC"/>
          <w:b/>
          <w:color w:val="000000"/>
          <w:sz w:val="28"/>
        </w:rPr>
        <w:t>1.4 报告范围与组织结构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本报告沿用上一版课程阶段报告的中英摘要、目录、六章正文及完整规约附录。第3章描述业务和系统需求，第4章说明设计责任，第5章记录实际证据与限制。原RC标签、冻结报告与历史证据不被本报告覆盖。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仅供合成数据课程演示，不含真实患者、真实支付接口、保险申报或临床资格自动认证。账单不是税务发票，通知投递不是人已阅读，技术管理身份不扩大临床权限。</w:t>
      </w:r>
    </w:p>
    <w:p>
      <w:pPr>
        <w:spacing w:after="120"/>
        <w:ind w:firstLine="0"/>
      </w:pPr>
      <w:r>
        <w:rPr>
          <w:rFonts w:ascii="Liberation Serif" w:hAnsi="Liberation Serif" w:eastAsia="Noto Serif CJK SC"/>
          <w:b w:val="0"/>
          <w:color w:val="000000"/>
          <w:sz w:val="21"/>
        </w:rPr>
        <w:t>思维导图  案例事实 → 连锁协作问题 → 统一业务事实 → 岗位与范围 → 可观察目标 → 合成数据与验收边界。</w:t>
      </w:r>
    </w:p>
    <w:p>
      <w:pPr>
        <w:pStyle w:val="Heading1"/>
        <w:pageBreakBefore/>
      </w:pPr>
      <w:r>
        <w:rPr>
          <w:rFonts w:ascii="Liberation Serif" w:hAnsi="Liberation Serif" w:eastAsia="Noto Sans CJK SC"/>
          <w:b/>
          <w:color w:val="000000"/>
          <w:sz w:val="32"/>
        </w:rPr>
        <w:t>第2章 相关方法与技术</w:t>
      </w:r>
    </w:p>
    <w:p>
      <w:pPr>
        <w:pStyle w:val="Heading2"/>
      </w:pPr>
      <w:r>
        <w:rPr>
          <w:rFonts w:ascii="Liberation Serif" w:hAnsi="Liberation Serif" w:eastAsia="Noto Sans CJK SC"/>
          <w:b/>
          <w:color w:val="000000"/>
          <w:sz w:val="28"/>
        </w:rPr>
        <w:t>2.1 UML 与用例驱动分析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业务用例说明岗位协作的业务成果，系统用例说明软件对外提供的目标服务；序列模型表达协作，状态模型表达一个对象的合法变化。模型不能替代业务规则和异常规约，图中 include 也不表示先后点击顺序。原始系统用例编号保持稳定。</w:t>
      </w:r>
    </w:p>
    <w:p>
      <w:pPr>
        <w:pStyle w:val="Heading2"/>
      </w:pPr>
      <w:r>
        <w:rPr>
          <w:rFonts w:ascii="Liberation Serif" w:hAnsi="Liberation Serif" w:eastAsia="Noto Sans CJK SC"/>
          <w:b/>
          <w:color w:val="000000"/>
          <w:sz w:val="28"/>
        </w:rPr>
        <w:t>2.2 B/S 结构与模块化单体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浏览器呈现工作台与表单，Django 组织身份、授权和业务操作，PostgreSQL 保存约束、事务和历史，独立 worker 处理已经提交的站内通知意图。继续采用模块化单体，先明确数据责任和受控操作，再根据实际部署或扩展瓶颈判断是否拆分服务。</w:t>
      </w:r>
    </w:p>
    <w:p>
      <w:pPr>
        <w:pStyle w:val="Heading2"/>
      </w:pPr>
      <w:r>
        <w:rPr>
          <w:rFonts w:ascii="Liberation Serif" w:hAnsi="Liberation Serif" w:eastAsia="Noto Sans CJK SC"/>
          <w:b/>
          <w:color w:val="000000"/>
          <w:sz w:val="28"/>
        </w:rPr>
        <w:t>2.3 需求可测试性与信息隐藏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note 3 将需求与设计区分，并要求可观察、可验证的需求；note 5 强调关注点分离、简单性和受限可见性。本项目把每个问题连接到执行者、行为、不变量、失败响应和验收案例。监测模块只获得聚合事实，不直接改写通知任务、预约、资金或授权。</w:t>
      </w:r>
    </w:p>
    <w:p>
      <w:pPr>
        <w:pStyle w:val="Heading2"/>
      </w:pPr>
      <w:r>
        <w:rPr>
          <w:rFonts w:ascii="Liberation Serif" w:hAnsi="Liberation Serif" w:eastAsia="Noto Sans CJK SC"/>
          <w:b/>
          <w:color w:val="000000"/>
          <w:sz w:val="28"/>
        </w:rPr>
        <w:t>2.4 数据库事务与独立观察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关键业务写入保留原有事务和独立审核。R2.2 对数据库使用单独的只读可重复读事务，设置本事务内的语句和锁等待上限，只查询通知状态计数和到期时间；观察失败返回未知，不以零积压代替查询失败。[18-19]</w:t>
      </w:r>
    </w:p>
    <w:p>
      <w:pPr>
        <w:pStyle w:val="Heading2"/>
      </w:pPr>
      <w:r>
        <w:rPr>
          <w:rFonts w:ascii="Liberation Serif" w:hAnsi="Liberation Serif" w:eastAsia="Noto Sans CJK SC"/>
          <w:b/>
          <w:color w:val="000000"/>
          <w:sz w:val="28"/>
        </w:rPr>
        <w:t>2.5 运行证据与课程边界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纯规则、源码检查、真实 PostgreSQL、浏览器业务、独立恢复与云端验证分别取证。Google SRE 强调可用于采取行动的监测，并验证告警路径。[16] 本项目目前仅使用合成资料与站内消息，外部AI保持关闭或本地演示模式；未接入真实支付、短信邮件或医学判断。</w:t>
      </w:r>
    </w:p>
    <w:p>
      <w:pPr>
        <w:spacing w:after="120"/>
        <w:ind w:firstLine="0"/>
      </w:pPr>
      <w:r>
        <w:rPr>
          <w:rFonts w:ascii="Liberation Serif" w:hAnsi="Liberation Serif" w:eastAsia="Noto Serif CJK SC"/>
          <w:b w:val="0"/>
          <w:color w:val="000000"/>
          <w:sz w:val="21"/>
        </w:rPr>
        <w:t>思维导图  需求可追踪 → 用例与模型 → 模块化单体 → 事务与信息隐藏 → 只读观察 → 分层证据与可恢复性。</w:t>
      </w:r>
    </w:p>
    <w:p>
      <w:pPr>
        <w:pStyle w:val="Heading1"/>
        <w:pageBreakBefore/>
      </w:pPr>
      <w:r>
        <w:rPr>
          <w:rFonts w:ascii="Liberation Serif" w:hAnsi="Liberation Serif" w:eastAsia="Noto Sans CJK SC"/>
          <w:b/>
          <w:color w:val="000000"/>
          <w:sz w:val="32"/>
        </w:rPr>
        <w:t>第3章 系统需求分析</w:t>
      </w:r>
    </w:p>
    <w:p>
      <w:pPr>
        <w:pStyle w:val="Heading2"/>
      </w:pPr>
      <w:r>
        <w:rPr>
          <w:rFonts w:ascii="Liberation Serif" w:hAnsi="Liberation Serif" w:eastAsia="Noto Sans CJK SC"/>
          <w:b/>
          <w:color w:val="000000"/>
          <w:sz w:val="28"/>
        </w:rPr>
        <w:t>3.1 业务范围与现状分析</w:t>
      </w:r>
    </w:p>
    <w:p>
      <w:pPr>
        <w:pStyle w:val="Heading3"/>
        <w:spacing w:before="0" w:after="0"/>
        <w:textAlignment w:val="baseline"/>
        <w:pageBreakBefore w:val="0"/>
        <w:kinsoku w:val="1"/>
        <w:snapToGrid w:val="0"/>
      </w:pPr>
      <w:r>
        <w:rPr>
          <w:rFonts w:ascii="Liberation Serif" w:hAnsi="Liberation Serif" w:eastAsia="Noto Sans CJK SC"/>
          <w:b/>
          <w:color w:val="000000"/>
          <w:sz w:val="24"/>
        </w:rPr>
        <w:t>3.1.1 业务边界与业务用例</w:t>
      </w:r>
    </w:p>
    <w:p>
      <w:pPr>
        <w:keepNext w:val="0"/>
        <w:keepLines w:val="0"/>
        <w:pageBreakBefore w:val="0"/>
        <w:widowControl/>
        <w:spacing w:after="0" w:line="440" w:lineRule="exact" w:before="0"/>
        <w:ind w:firstLine="480"/>
        <w:textAlignment w:val="baseline"/>
        <w:kinsoku w:val="1"/>
        <w:snapToGrid w:val="0"/>
      </w:pPr>
      <w:r>
        <w:rPr>
          <w:rFonts w:ascii="Liberation Serif" w:hAnsi="Liberation Serif" w:eastAsia="Noto Serif CJK SC"/>
          <w:color w:val="000000"/>
          <w:sz w:val="24"/>
        </w:rPr>
        <w:t>业务边界仍取R4.2的“诊所服务与运营核对业务域”。患者和总部管理是该责任域的外部业务执行者；总部不因此成为ADC组织之外的机构。前台、牙医与财务是域内业务工人，既有载体及ADC系统按业务实体表达。业务用例描述对外价值，不表示菜单或操作顺序。（课件第85—89、93页）</w:t>
      </w:r>
    </w:p>
    <w:p>
      <w:pPr>
        <w:keepNext/>
        <w:spacing w:line="240" w:lineRule="auto" w:after="0" w:before="0"/>
        <w:ind w:firstLine="0"/>
        <w:jc w:val="center"/>
        <w:textAlignment w:val="baseline"/>
        <w:pageBreakBefore w:val="0"/>
        <w:kinsoku w:val="1"/>
        <w:snapToGrid w:val="0"/>
      </w:pPr>
      <w:r>
        <w:rPr>
          <w:rFonts w:ascii="Noto Serif CJK SC" w:hAnsi="Noto Serif CJK SC" w:eastAsia="Noto Serif CJK SC" w:cs="Noto Serif CJK SC"/>
          <w:color w:val="000000"/>
          <w:sz w:val="24"/>
        </w:rPr>
        <w:drawing>
          <wp:inline xmlns:a="http://schemas.openxmlformats.org/drawingml/2006/main" xmlns:pic="http://schemas.openxmlformats.org/drawingml/2006/picture">
            <wp:extent cx="5652000" cy="3355875"/>
            <wp:docPr id="17" name="Picture 17" descr="B01：依据课程课件重绘。原业务规则和版本状态不变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355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0" w:after="100"/>
        <w:ind w:firstLine="0"/>
        <w:jc w:val="center"/>
        <w:textAlignment w:val="baseline"/>
        <w:keepNext/>
        <w:pageBreakBefore w:val="0"/>
        <w:kinsoku w:val="1"/>
        <w:snapToGrid w:val="0"/>
      </w:pPr>
      <w:r>
        <w:rPr>
          <w:rFonts w:ascii="Liberation Serif" w:hAnsi="Liberation Serif" w:eastAsia="Noto Serif CJK SC"/>
          <w:color w:val="000000"/>
          <w:sz w:val="21"/>
        </w:rPr>
        <w:t>图3-1  诊所服务与运营核对业务用例图（B01）</w:t>
      </w:r>
    </w:p>
    <w:p>
      <w:pPr>
        <w:keepNext w:val="0"/>
        <w:keepLines/>
        <w:pageBreakBefore w:val="0"/>
        <w:widowControl/>
        <w:spacing w:after="0" w:line="440" w:lineRule="exact" w:before="0"/>
        <w:jc w:val="center"/>
        <w:textAlignment w:val="baseline"/>
        <w:kinsoku w:val="1"/>
        <w:snapToGrid w:val="0"/>
      </w:pPr>
      <w:r>
        <w:rPr>
          <w:rFonts w:ascii="Liberation Serif" w:hAnsi="Liberation Serif" w:eastAsia="Noto Serif CJK SC"/>
          <w:color w:val="000000"/>
          <w:sz w:val="24"/>
        </w:rPr>
        <w:t>表3-1  业务用例及成果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3402"/>
        <w:gridCol w:w="4025"/>
      </w:tblGrid>
      <w:tr>
        <w:trPr>
          <w:cantSplit/>
          <w:tblHeader/>
          <w:cantSplit/>
        </w:trPr>
        <w:tc>
          <w:tcPr>
            <w:tcW w:type="dxa" w:w="1474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left w:val="nil" w:sz="4" w:color="000000"/>
              <w:right w:val="nil" w:sz="4" w:color="000000"/>
              <w:top w:val="single" w:sz="10" w:color="000000"/>
              <w:bottom w:val="single" w:sz="6" w:color="000000"/>
            </w:tcBorders>
          </w:tcPr>
          <w:p>
            <w:pPr>
              <w:keepNext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/>
                <w:color w:val="000000"/>
                <w:sz w:val="21"/>
                <w:lang w:val="zh-CN" w:eastAsia="zh-CN"/>
              </w:rPr>
              <w:t>业务编号</w:t>
            </w:r>
          </w:p>
        </w:tc>
        <w:tc>
          <w:tcPr>
            <w:tcW w:type="dxa" w:w="3402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left w:val="nil" w:sz="4" w:color="000000"/>
              <w:right w:val="nil" w:sz="4" w:color="000000"/>
              <w:top w:val="single" w:sz="10" w:color="000000"/>
              <w:bottom w:val="single" w:sz="6" w:color="000000"/>
            </w:tcBorders>
          </w:tcPr>
          <w:p>
            <w:pPr>
              <w:keepNext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/>
                <w:color w:val="000000"/>
                <w:sz w:val="21"/>
                <w:lang w:val="zh-CN" w:eastAsia="zh-CN"/>
              </w:rPr>
              <w:t>业务成果</w:t>
            </w:r>
          </w:p>
        </w:tc>
        <w:tc>
          <w:tcPr>
            <w:tcW w:type="dxa" w:w="402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left w:val="nil" w:sz="4" w:color="000000"/>
              <w:right w:val="nil" w:sz="4" w:color="000000"/>
              <w:top w:val="single" w:sz="10" w:color="000000"/>
              <w:bottom w:val="single" w:sz="6" w:color="000000"/>
            </w:tcBorders>
          </w:tcPr>
          <w:p>
            <w:pPr>
              <w:keepNext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/>
                <w:color w:val="000000"/>
                <w:sz w:val="21"/>
                <w:lang w:val="zh-CN" w:eastAsia="zh-CN"/>
              </w:rPr>
              <w:t>主要协作</w:t>
            </w:r>
          </w:p>
        </w:tc>
      </w:tr>
      <w:tr>
        <w:trPr>
          <w:cantSplit/>
          <w:cantSplit/>
        </w:trPr>
        <w:tc>
          <w:tcPr>
            <w:tcW w:type="dxa" w:w="1474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BU-01</w:t>
            </w:r>
          </w:p>
        </w:tc>
        <w:tc>
          <w:tcPr>
            <w:tcW w:type="dxa" w:w="3402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获得就诊服务</w:t>
            </w:r>
          </w:p>
        </w:tc>
        <w:tc>
          <w:tcPr>
            <w:tcW w:type="dxa" w:w="402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前台、牙医</w:t>
            </w:r>
          </w:p>
        </w:tc>
      </w:tr>
      <w:tr>
        <w:trPr>
          <w:cantSplit/>
          <w:cantSplit/>
        </w:trPr>
        <w:tc>
          <w:tcPr>
            <w:tcW w:type="dxa" w:w="1474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BU-02</w:t>
            </w:r>
          </w:p>
        </w:tc>
        <w:tc>
          <w:tcPr>
            <w:tcW w:type="dxa" w:w="3402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调整就诊安排</w:t>
            </w:r>
          </w:p>
        </w:tc>
        <w:tc>
          <w:tcPr>
            <w:tcW w:type="dxa" w:w="402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前台、主管</w:t>
            </w:r>
          </w:p>
        </w:tc>
      </w:tr>
      <w:tr>
        <w:trPr>
          <w:cantSplit/>
          <w:cantSplit/>
        </w:trPr>
        <w:tc>
          <w:tcPr>
            <w:tcW w:type="dxa" w:w="1474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BU-03</w:t>
            </w:r>
          </w:p>
        </w:tc>
        <w:tc>
          <w:tcPr>
            <w:tcW w:type="dxa" w:w="3402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获取结算说明</w:t>
            </w:r>
          </w:p>
        </w:tc>
        <w:tc>
          <w:tcPr>
            <w:tcW w:type="dxa" w:w="402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牙医、前台、财务</w:t>
            </w:r>
          </w:p>
        </w:tc>
      </w:tr>
      <w:tr>
        <w:trPr>
          <w:cantSplit/>
          <w:cantSplit/>
        </w:trPr>
        <w:tc>
          <w:tcPr>
            <w:tcW w:type="dxa" w:w="1474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10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BU-04</w:t>
            </w:r>
          </w:p>
        </w:tc>
        <w:tc>
          <w:tcPr>
            <w:tcW w:type="dxa" w:w="3402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10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获取运营核对结果</w:t>
            </w:r>
          </w:p>
        </w:tc>
        <w:tc>
          <w:tcPr>
            <w:tcW w:type="dxa" w:w="402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10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各店、牙医、财务</w:t>
            </w:r>
          </w:p>
        </w:tc>
      </w:tr>
    </w:tbl>
    <w:p>
      <w:pPr>
        <w:pStyle w:val="Heading3"/>
        <w:pageBreakBefore w:val="0"/>
        <w:spacing w:before="0" w:after="0"/>
        <w:textAlignment w:val="baseline"/>
        <w:kinsoku w:val="1"/>
        <w:snapToGrid w:val="0"/>
      </w:pPr>
      <w:r>
        <w:rPr>
          <w:rFonts w:ascii="Liberation Serif" w:hAnsi="Liberation Serif" w:eastAsia="Noto Sans CJK SC"/>
          <w:b/>
          <w:color w:val="000000"/>
          <w:sz w:val="24"/>
        </w:rPr>
        <w:t>3.1.2 现状就诊服务</w:t>
      </w:r>
    </w:p>
    <w:p>
      <w:pPr>
        <w:keepNext/>
        <w:spacing w:line="240" w:lineRule="auto" w:after="0" w:before="0"/>
        <w:ind w:firstLine="0"/>
        <w:jc w:val="center"/>
        <w:textAlignment w:val="baseline"/>
        <w:pageBreakBefore w:val="0"/>
        <w:kinsoku w:val="1"/>
        <w:snapToGrid w:val="0"/>
      </w:pPr>
      <w:r>
        <w:rPr>
          <w:rFonts w:ascii="Noto Serif CJK SC" w:hAnsi="Noto Serif CJK SC" w:eastAsia="Noto Serif CJK SC" w:cs="Noto Serif CJK SC"/>
          <w:color w:val="000000"/>
          <w:sz w:val="24"/>
        </w:rPr>
        <w:drawing>
          <wp:inline xmlns:a="http://schemas.openxmlformats.org/drawingml/2006/main" xmlns:pic="http://schemas.openxmlformats.org/drawingml/2006/picture">
            <wp:extent cx="5652000" cy="5769625"/>
            <wp:docPr id="18" name="Picture 18" descr="B02：依据课程课件重绘。原业务规则和版本状态不变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576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0" w:after="100"/>
        <w:ind w:firstLine="0"/>
        <w:jc w:val="center"/>
        <w:textAlignment w:val="baseline"/>
        <w:keepNext/>
        <w:pageBreakBefore w:val="0"/>
        <w:kinsoku w:val="1"/>
        <w:snapToGrid w:val="0"/>
      </w:pPr>
      <w:r>
        <w:rPr>
          <w:rFonts w:ascii="Liberation Serif" w:hAnsi="Liberation Serif" w:eastAsia="Noto Serif CJK SC"/>
          <w:color w:val="000000"/>
          <w:sz w:val="21"/>
        </w:rPr>
        <w:t>图3-2  AS-IS预约、接诊与费用说明（B02）</w:t>
      </w:r>
    </w:p>
    <w:p>
      <w:pPr>
        <w:keepNext w:val="0"/>
        <w:keepLines w:val="0"/>
        <w:pageBreakBefore w:val="0"/>
        <w:widowControl/>
        <w:spacing w:after="0" w:line="440" w:lineRule="exact" w:before="0"/>
        <w:ind w:firstLine="480"/>
        <w:textAlignment w:val="baseline"/>
        <w:kinsoku w:val="1"/>
        <w:snapToGrid w:val="0"/>
      </w:pPr>
      <w:r>
        <w:rPr>
          <w:rFonts w:ascii="Liberation Serif" w:hAnsi="Liberation Serif" w:eastAsia="Noto Serif CJK SC"/>
          <w:color w:val="000000"/>
          <w:sz w:val="24"/>
        </w:rPr>
        <w:t>本图重建案例中的业务问题情境，而不是把v0.3软件当作现状系统。电话预约、患者资料、治疗计量及费用信息由案例支持；由前台向牙医协调、何时读取本店记录采用A1／A2假设。[1]</w:t>
      </w:r>
    </w:p>
    <w:p>
      <w:pPr>
        <w:keepNext w:val="0"/>
        <w:keepLines w:val="0"/>
        <w:pageBreakBefore w:val="0"/>
        <w:widowControl/>
        <w:spacing w:after="0" w:line="440" w:lineRule="exact" w:before="0"/>
        <w:textAlignment w:val="baseline"/>
        <w:kinsoku w:val="1"/>
        <w:snapToGrid w:val="0"/>
      </w:pPr>
      <w:r>
        <w:rPr>
          <w:rFonts w:ascii="Liberation Serif" w:hAnsi="Liberation Serif" w:eastAsia="Noto Serif CJK SC"/>
          <w:color w:val="000000"/>
          <w:sz w:val="24"/>
        </w:rPr>
        <w:t>问题定位：跨店识别、时间协调和结算依据缺乏统一核对时，可能产生反复确认。此模型不证明旧系统每次出错，也不提供现状耗时统计。</w:t>
      </w:r>
    </w:p>
    <w:p>
      <w:pPr>
        <w:pStyle w:val="Heading3"/>
        <w:pageBreakBefore w:val="0"/>
        <w:spacing w:before="0" w:after="0"/>
        <w:textAlignment w:val="baseline"/>
        <w:kinsoku w:val="1"/>
        <w:snapToGrid w:val="0"/>
      </w:pPr>
      <w:r>
        <w:rPr>
          <w:rFonts w:ascii="Liberation Serif" w:hAnsi="Liberation Serif" w:eastAsia="Noto Sans CJK SC"/>
          <w:b/>
          <w:color w:val="000000"/>
          <w:sz w:val="24"/>
        </w:rPr>
        <w:t>3.1.3 现状季度核对</w:t>
      </w:r>
    </w:p>
    <w:p>
      <w:pPr>
        <w:keepNext/>
        <w:spacing w:line="240" w:lineRule="auto" w:after="0" w:before="0"/>
        <w:ind w:firstLine="0"/>
        <w:jc w:val="center"/>
        <w:textAlignment w:val="baseline"/>
        <w:pageBreakBefore w:val="0"/>
        <w:kinsoku w:val="1"/>
        <w:snapToGrid w:val="0"/>
      </w:pPr>
      <w:r>
        <w:drawing>
          <wp:inline xmlns:a="http://schemas.openxmlformats.org/drawingml/2006/main" xmlns:pic="http://schemas.openxmlformats.org/drawingml/2006/picture">
            <wp:extent cx="5652000" cy="5673930"/>
            <wp:docPr id="31" name="Picture 31" descr="B04：现状或改进后季度业务序列，校正alt片段与消息间距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56739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0" w:after="100"/>
        <w:ind w:firstLine="0"/>
        <w:jc w:val="center"/>
        <w:textAlignment w:val="baseline"/>
        <w:keepNext/>
        <w:pageBreakBefore w:val="0"/>
        <w:kinsoku w:val="1"/>
        <w:snapToGrid w:val="0"/>
      </w:pPr>
      <w:r>
        <w:rPr>
          <w:rFonts w:ascii="Liberation Serif" w:hAnsi="Liberation Serif" w:eastAsia="Noto Serif CJK SC"/>
          <w:color w:val="000000"/>
          <w:sz w:val="21"/>
        </w:rPr>
        <w:t>图3-3  AS-IS季度资料归集与核对（B04）</w:t>
      </w:r>
    </w:p>
    <w:p>
      <w:pPr>
        <w:keepNext w:val="0"/>
        <w:keepLines w:val="0"/>
        <w:pageBreakBefore w:val="0"/>
        <w:widowControl/>
        <w:spacing w:after="0" w:line="440" w:lineRule="exact" w:before="0"/>
        <w:ind w:firstLine="480"/>
        <w:textAlignment w:val="baseline"/>
        <w:kinsoku w:val="1"/>
        <w:snapToGrid w:val="0"/>
      </w:pPr>
      <w:r>
        <w:rPr>
          <w:rFonts w:ascii="Liberation Serif" w:hAnsi="Liberation Serif" w:eastAsia="Noto Serif CJK SC"/>
          <w:color w:val="000000"/>
          <w:sz w:val="24"/>
        </w:rPr>
        <w:t>案例明确要求按季度跟踪牙医收入、用品成本及运营费用，并提出总体激励基金比例。具体归集、汇总与缺失追问顺序采用A2／A3，不将补充流程冒充现场调研结论。[1]</w:t>
      </w:r>
    </w:p>
    <w:p>
      <w:pPr>
        <w:keepNext w:val="0"/>
        <w:keepLines w:val="0"/>
        <w:pageBreakBefore w:val="0"/>
        <w:widowControl/>
        <w:spacing w:after="0" w:line="440" w:lineRule="exact" w:before="0"/>
        <w:textAlignment w:val="baseline"/>
        <w:kinsoku w:val="1"/>
        <w:snapToGrid w:val="0"/>
      </w:pPr>
      <w:r>
        <w:rPr>
          <w:rFonts w:ascii="Liberation Serif" w:hAnsi="Liberation Serif" w:eastAsia="Noto Serif CJK SC"/>
          <w:color w:val="000000"/>
          <w:sz w:val="24"/>
        </w:rPr>
        <w:t>核心风险是完整性不能由零散提交自行保证：未提交成本不等于成本为零，取得费用单也不等于已经收款。</w:t>
      </w:r>
    </w:p>
    <w:p>
      <w:pPr>
        <w:pStyle w:val="Heading2"/>
      </w:pPr>
      <w:r>
        <w:rPr>
          <w:rFonts w:ascii="Liberation Serif" w:hAnsi="Liberation Serif" w:eastAsia="Noto Sans CJK SC"/>
          <w:b/>
          <w:color w:val="000000"/>
          <w:sz w:val="28"/>
        </w:rPr>
        <w:t>3.2 系统总体目标与改进业务流程</w:t>
      </w:r>
    </w:p>
    <w:p>
      <w:pPr>
        <w:pStyle w:val="Heading3"/>
        <w:pageBreakBefore w:val="0"/>
        <w:spacing w:before="0" w:after="0"/>
        <w:textAlignment w:val="baseline"/>
        <w:kinsoku w:val="1"/>
        <w:snapToGrid w:val="0"/>
      </w:pPr>
      <w:r>
        <w:rPr>
          <w:rFonts w:ascii="Liberation Serif" w:hAnsi="Liberation Serif" w:eastAsia="Noto Sans CJK SC"/>
          <w:b/>
          <w:color w:val="000000"/>
          <w:sz w:val="24"/>
        </w:rPr>
        <w:t>3.2.1 统一服务</w:t>
      </w:r>
    </w:p>
    <w:p>
      <w:pPr>
        <w:keepNext/>
        <w:spacing w:line="240" w:lineRule="auto" w:after="0" w:before="0"/>
        <w:ind w:firstLine="0"/>
        <w:jc w:val="center"/>
        <w:textAlignment w:val="baseline"/>
        <w:pageBreakBefore w:val="0"/>
        <w:kinsoku w:val="1"/>
        <w:snapToGrid w:val="0"/>
      </w:pPr>
      <w:r>
        <w:rPr>
          <w:rFonts w:ascii="Noto Serif CJK SC" w:hAnsi="Noto Serif CJK SC" w:eastAsia="Noto Serif CJK SC" w:cs="Noto Serif CJK SC"/>
          <w:color w:val="000000"/>
          <w:sz w:val="24"/>
        </w:rPr>
        <w:drawing>
          <wp:inline xmlns:a="http://schemas.openxmlformats.org/drawingml/2006/main" xmlns:pic="http://schemas.openxmlformats.org/drawingml/2006/picture">
            <wp:extent cx="5652000" cy="5980952"/>
            <wp:docPr id="19" name="Picture 19" descr="B03：依据课程课件重绘。原业务规则和版本状态不变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5980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0" w:after="100"/>
        <w:ind w:firstLine="0"/>
        <w:jc w:val="center"/>
        <w:textAlignment w:val="baseline"/>
        <w:keepNext/>
        <w:pageBreakBefore w:val="0"/>
        <w:kinsoku w:val="1"/>
        <w:snapToGrid w:val="0"/>
      </w:pPr>
      <w:r>
        <w:rPr>
          <w:rFonts w:ascii="Liberation Serif" w:hAnsi="Liberation Serif" w:eastAsia="Noto Serif CJK SC"/>
          <w:color w:val="000000"/>
          <w:sz w:val="21"/>
        </w:rPr>
        <w:t>图3-4  TO-BE统一就诊服务主路径（B03）</w:t>
      </w:r>
    </w:p>
    <w:p>
      <w:pPr>
        <w:keepNext w:val="0"/>
        <w:keepLines w:val="0"/>
        <w:pageBreakBefore w:val="0"/>
        <w:widowControl/>
        <w:spacing w:after="0" w:line="440" w:lineRule="exact" w:before="0"/>
        <w:ind w:firstLine="480"/>
        <w:textAlignment w:val="baseline"/>
        <w:kinsoku w:val="1"/>
        <w:snapToGrid w:val="0"/>
      </w:pPr>
      <w:r>
        <w:rPr>
          <w:rFonts w:ascii="Liberation Serif" w:hAnsi="Liberation Serif" w:eastAsia="Noto Serif CJK SC"/>
          <w:color w:val="000000"/>
          <w:sz w:val="24"/>
        </w:rPr>
        <w:t>ADC系统在改进后的业务序列中是新增的业务实体；前台、牙医仍为业务工人。图中保留到店登记、专业诊疗及费用说明的责任区别；不展开软件内部边界类、控制类或SQL。图示以前台代办为主路径，患者自助遵守同等预约约束。（课件第87—89、108—112、314页）</w:t>
      </w:r>
    </w:p>
    <w:p>
      <w:pPr>
        <w:keepNext w:val="0"/>
        <w:keepLines w:val="0"/>
        <w:pageBreakBefore w:val="0"/>
        <w:widowControl/>
        <w:spacing w:after="0" w:line="440" w:lineRule="exact" w:before="0"/>
        <w:textAlignment w:val="baseline"/>
        <w:kinsoku w:val="1"/>
        <w:snapToGrid w:val="0"/>
      </w:pPr>
      <w:r>
        <w:rPr>
          <w:rFonts w:ascii="Liberation Serif" w:hAnsi="Liberation Serif" w:eastAsia="Noto Serif CJK SC"/>
          <w:color w:val="000000"/>
          <w:sz w:val="24"/>
        </w:rPr>
        <w:t>冲突、未知过敏、无治疗关闭和重复完成分别见SU-04、SU-07、SU-08。预约意向不直接生成治疗或费用，系统不代替临床判断。</w:t>
      </w:r>
    </w:p>
    <w:p>
      <w:pPr>
        <w:pStyle w:val="Heading3"/>
        <w:pageBreakBefore w:val="0"/>
        <w:spacing w:before="0" w:after="0"/>
        <w:textAlignment w:val="baseline"/>
        <w:kinsoku w:val="1"/>
        <w:snapToGrid w:val="0"/>
      </w:pPr>
      <w:r>
        <w:rPr>
          <w:rFonts w:ascii="Liberation Serif" w:hAnsi="Liberation Serif" w:eastAsia="Noto Sans CJK SC"/>
          <w:b/>
          <w:color w:val="000000"/>
          <w:sz w:val="24"/>
        </w:rPr>
        <w:t>3.2.2 季度核对</w:t>
      </w:r>
    </w:p>
    <w:p>
      <w:pPr>
        <w:keepNext/>
        <w:spacing w:line="240" w:lineRule="auto" w:after="0" w:before="0"/>
        <w:ind w:firstLine="0"/>
        <w:jc w:val="center"/>
        <w:textAlignment w:val="baseline"/>
        <w:pageBreakBefore w:val="0"/>
        <w:kinsoku w:val="1"/>
        <w:snapToGrid w:val="0"/>
      </w:pPr>
      <w:r>
        <w:drawing>
          <wp:inline xmlns:a="http://schemas.openxmlformats.org/drawingml/2006/main" xmlns:pic="http://schemas.openxmlformats.org/drawingml/2006/picture">
            <wp:extent cx="5652000" cy="5065867"/>
            <wp:docPr id="32" name="Picture 32" descr="B05：现状或改进后季度业务序列，校正alt片段与消息间距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5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5065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0" w:after="100"/>
        <w:ind w:firstLine="0"/>
        <w:jc w:val="center"/>
        <w:textAlignment w:val="baseline"/>
        <w:keepNext/>
        <w:pageBreakBefore w:val="0"/>
        <w:kinsoku w:val="1"/>
        <w:snapToGrid w:val="0"/>
      </w:pPr>
      <w:r>
        <w:rPr>
          <w:rFonts w:ascii="Liberation Serif" w:hAnsi="Liberation Serif" w:eastAsia="Noto Serif CJK SC"/>
          <w:color w:val="000000"/>
          <w:sz w:val="21"/>
        </w:rPr>
        <w:t>图3-5  TO-BE季度完整性核对及测算（B05）</w:t>
      </w:r>
    </w:p>
    <w:p>
      <w:pPr>
        <w:keepNext w:val="0"/>
        <w:keepLines w:val="0"/>
        <w:pageBreakBefore w:val="0"/>
        <w:widowControl/>
        <w:spacing w:after="0" w:line="440" w:lineRule="exact" w:before="0"/>
        <w:ind w:firstLine="480"/>
        <w:textAlignment w:val="baseline"/>
        <w:kinsoku w:val="1"/>
        <w:snapToGrid w:val="0"/>
      </w:pPr>
      <w:r>
        <w:rPr>
          <w:rFonts w:ascii="Liberation Serif" w:hAnsi="Liberation Serif" w:eastAsia="Noto Serif CJK SC"/>
          <w:color w:val="000000"/>
          <w:sz w:val="24"/>
        </w:rPr>
        <w:t>财务维护、总部查阅分权。以当前有效结算单开单金额作为项目收入口径，按北京时间自然季度归属；先确认人员范围和成本，再形成测算。资料完整与资料缺失由alt片段表示为互斥分支。</w:t>
      </w:r>
    </w:p>
    <w:p>
      <w:pPr>
        <w:keepNext w:val="0"/>
        <w:keepLines w:val="0"/>
        <w:pageBreakBefore w:val="0"/>
        <w:widowControl/>
        <w:spacing w:after="0" w:line="440" w:lineRule="exact" w:before="0"/>
        <w:textAlignment w:val="baseline"/>
        <w:kinsoku w:val="1"/>
        <w:snapToGrid w:val="0"/>
      </w:pPr>
      <w:r>
        <w:rPr>
          <w:rFonts w:ascii="Liberation Serif" w:hAnsi="Liberation Serif" w:eastAsia="Noto Serif CJK SC"/>
          <w:color w:val="000000"/>
          <w:sz w:val="24"/>
        </w:rPr>
        <w:t>对牙医d、季度q：P(d,q)=R(d,q)−C(d,q)−O(d,q)。总体P(q)为纳入牙医利润贡献之和；资料完整且P(q)&gt;0时，F(q)=10%×P(q)。这是项目测算，不是法定财务净利润或个人奖金政策。有成本但无收入者仍需纳入，更正后只计当前版本。[1；项目设计]</w:t>
      </w:r>
    </w:p>
    <w:p>
      <w:pPr>
        <w:pStyle w:val="Heading3"/>
        <w:pageBreakBefore w:val="0"/>
        <w:spacing w:before="0" w:after="0"/>
        <w:textAlignment w:val="baseline"/>
        <w:kinsoku w:val="1"/>
        <w:snapToGrid w:val="0"/>
      </w:pPr>
      <w:r>
        <w:rPr>
          <w:rFonts w:ascii="Liberation Serif" w:hAnsi="Liberation Serif" w:eastAsia="Noto Sans CJK SC"/>
          <w:b/>
          <w:color w:val="000000"/>
          <w:sz w:val="24"/>
        </w:rPr>
        <w:t>3.2.3 候补协同</w:t>
      </w:r>
    </w:p>
    <w:p>
      <w:pPr>
        <w:keepNext/>
        <w:spacing w:line="240" w:lineRule="auto" w:after="0" w:before="0"/>
        <w:ind w:firstLine="0"/>
        <w:jc w:val="center"/>
        <w:textAlignment w:val="baseline"/>
        <w:pageBreakBefore w:val="0"/>
        <w:kinsoku w:val="1"/>
        <w:snapToGrid w:val="0"/>
      </w:pPr>
      <w:r>
        <w:rPr>
          <w:rFonts w:ascii="Noto Serif CJK SC" w:hAnsi="Noto Serif CJK SC" w:eastAsia="Noto Serif CJK SC" w:cs="Noto Serif CJK SC"/>
          <w:color w:val="000000"/>
          <w:sz w:val="24"/>
        </w:rPr>
        <w:drawing>
          <wp:inline xmlns:a="http://schemas.openxmlformats.org/drawingml/2006/main" xmlns:pic="http://schemas.openxmlformats.org/drawingml/2006/picture">
            <wp:extent cx="5652000" cy="6297943"/>
            <wp:docPr id="22" name="Picture 22" descr="B06：依据课程课件重绘。原业务规则和版本状态不变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6297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0" w:after="100"/>
        <w:ind w:firstLine="0"/>
        <w:jc w:val="center"/>
        <w:textAlignment w:val="baseline"/>
        <w:keepNext/>
        <w:pageBreakBefore w:val="0"/>
        <w:kinsoku w:val="1"/>
        <w:snapToGrid w:val="0"/>
      </w:pPr>
      <w:r>
        <w:rPr>
          <w:rFonts w:ascii="Liberation Serif" w:hAnsi="Liberation Serif" w:eastAsia="Noto Serif CJK SC"/>
          <w:color w:val="000000"/>
          <w:sz w:val="21"/>
        </w:rPr>
        <w:t>图3-6  TO-BE候补、限时邀约与明确接受（B06）</w:t>
      </w:r>
    </w:p>
    <w:p>
      <w:pPr>
        <w:keepNext w:val="0"/>
        <w:keepLines w:val="0"/>
        <w:pageBreakBefore w:val="0"/>
        <w:widowControl/>
        <w:spacing w:after="0" w:line="440" w:lineRule="exact" w:before="0"/>
        <w:ind w:firstLine="480"/>
        <w:textAlignment w:val="baseline"/>
        <w:kinsoku w:val="1"/>
        <w:snapToGrid w:val="0"/>
      </w:pPr>
      <w:r>
        <w:rPr>
          <w:rFonts w:ascii="Liberation Serif" w:hAnsi="Liberation Serif" w:eastAsia="Noto Serif CJK SC"/>
          <w:color w:val="000000"/>
          <w:sz w:val="24"/>
        </w:rPr>
        <w:t>候补登记与排程草案都不等于正式预约。主管发布后形成有期限的保留，由本人患者或取得明确意思的前台接受后才创建预约。接受、拒绝和失效在图中分别表达，不视为必然依次发生。</w:t>
      </w:r>
    </w:p>
    <w:p>
      <w:pPr>
        <w:keepNext w:val="0"/>
        <w:keepLines w:val="0"/>
        <w:pageBreakBefore w:val="0"/>
        <w:widowControl/>
        <w:spacing w:after="0" w:line="440" w:lineRule="exact" w:before="0"/>
        <w:textAlignment w:val="baseline"/>
        <w:kinsoku w:val="1"/>
        <w:snapToGrid w:val="0"/>
      </w:pPr>
      <w:r>
        <w:rPr>
          <w:rFonts w:ascii="Liberation Serif" w:hAnsi="Liberation Serif" w:eastAsia="Noto Serif CJK SC"/>
          <w:color w:val="000000"/>
          <w:sz w:val="24"/>
        </w:rPr>
        <w:t>患者候补仍为固定30分钟、有限候选最大匹配，未提供患者短信、邮件或自动通知。任务站内消息另见第3.5.5节。邀约保留至发布后15分钟或预约开始的较早时点；这些期限与上限为项目设计。</w:t>
      </w:r>
    </w:p>
    <w:p>
      <w:pPr>
        <w:pStyle w:val="Heading3"/>
        <w:keepNext/>
        <w:pageBreakBefore w:val="0"/>
        <w:widowControl/>
        <w:spacing w:before="0" w:after="0"/>
      </w:pPr>
      <w:r>
        <w:rPr>
          <w:rFonts w:ascii="Liberation Serif" w:hAnsi="Liberation Serif" w:eastAsia="Noto Sans CJK SC"/>
          <w:b/>
          <w:color w:val="000000"/>
          <w:sz w:val="24"/>
        </w:rPr>
        <w:t>3.2.4 责任协调</w:t>
      </w:r>
    </w:p>
    <w:p>
      <w:pPr>
        <w:keepNext/>
        <w:pageBreakBefore w:val="0"/>
        <w:widowControl/>
        <w:spacing w:line="240" w:lineRule="auto" w:after="0" w:before="0"/>
        <w:ind w:firstLine="0"/>
        <w:jc w:val="center"/>
      </w:pPr>
      <w:r>
        <w:rPr>
          <w:rFonts w:ascii="Times New Roman" w:hAnsi="Times New Roman" w:eastAsia="Noto Serif CJK SC"/>
          <w:b w:val="0"/>
          <w:sz w:val="24"/>
        </w:rPr>
      </w:r>
      <w:r>
        <w:drawing>
          <wp:inline xmlns:a="http://schemas.openxmlformats.org/drawingml/2006/main" xmlns:pic="http://schemas.openxmlformats.org/drawingml/2006/picture">
            <wp:extent cx="5688000" cy="602306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7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6023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pageBreakBefore w:val="0"/>
        <w:widowControl/>
        <w:spacing w:before="0" w:after="100"/>
        <w:ind w:firstLine="0"/>
        <w:jc w:val="center"/>
      </w:pPr>
      <w:r>
        <w:rPr>
          <w:rFonts w:ascii="Liberation Serif" w:hAnsi="Liberation Serif" w:eastAsia="Noto Serif CJK SC"/>
          <w:color w:val="000000"/>
          <w:sz w:val="21"/>
        </w:rPr>
        <w:t>图3-7  改进后的出诊责任协调业务序列（B07）</w:t>
      </w:r>
    </w:p>
    <w:p>
      <w:pPr>
        <w:keepNext w:val="0"/>
        <w:pageBreakBefore w:val="0"/>
        <w:widowControl/>
        <w:spacing w:line="440" w:lineRule="exact" w:before="0" w:after="0"/>
      </w:pPr>
      <w:r>
        <w:rPr>
          <w:rFonts w:ascii="Liberation Serif" w:hAnsi="Liberation Serif" w:eastAsia="Noto Serif CJK SC"/>
          <w:color w:val="000000"/>
          <w:sz w:val="24"/>
        </w:rPr>
        <w:t>主管先明确暂停新增，前台协商并通过原业务流程处理；有阻断不得提交。只在提交与独立复核成立的分支进入后续维护。该TO-BE模型不声称新增了临床停诊或患者自动同意。</w:t>
      </w:r>
    </w:p>
    <w:p>
      <w:pPr>
        <w:pStyle w:val="Heading2"/>
      </w:pPr>
      <w:r>
        <w:rPr>
          <w:rFonts w:ascii="Liberation Serif" w:hAnsi="Liberation Serif" w:eastAsia="Noto Sans CJK SC"/>
          <w:b/>
          <w:color w:val="000000"/>
          <w:sz w:val="28"/>
        </w:rPr>
        <w:t>3.3 用户需求分析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七类工作台按当前身份及对象范围授权。一个人可以有多个授予的岗位，但一次只激活一个；切换身份不能自行审核。SYSADMIN管理账号和目录，私有主机维护是另一项运行责任。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表3-2 利益相关者及职责边界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3685"/>
        <w:gridCol w:w="3798"/>
      </w:tblGrid>
      <w:tr>
        <w:trPr>
          <w:cantSplit/>
          <w:tblHeader/>
          <w:cantSplit/>
        </w:trPr>
        <w:tc>
          <w:tcPr>
            <w:tcW w:type="dxa" w:w="1417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left w:val="nil" w:sz="4" w:color="000000"/>
              <w:right w:val="nil" w:sz="4" w:color="000000"/>
              <w:top w:val="single" w:sz="10" w:color="000000"/>
              <w:bottom w:val="single" w:sz="6" w:color="000000"/>
            </w:tcBorders>
          </w:tcPr>
          <w:p>
            <w:pPr>
              <w:keepNext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/>
                <w:color w:val="000000"/>
                <w:sz w:val="21"/>
                <w:lang w:val="zh-CN" w:eastAsia="zh-CN"/>
              </w:rPr>
              <w:t>参与角色</w:t>
            </w:r>
          </w:p>
        </w:tc>
        <w:tc>
          <w:tcPr>
            <w:tcW w:type="dxa" w:w="368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left w:val="nil" w:sz="4" w:color="000000"/>
              <w:right w:val="nil" w:sz="4" w:color="000000"/>
              <w:top w:val="single" w:sz="10" w:color="000000"/>
              <w:bottom w:val="single" w:sz="6" w:color="000000"/>
            </w:tcBorders>
          </w:tcPr>
          <w:p>
            <w:pPr>
              <w:keepNext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/>
                <w:color w:val="000000"/>
                <w:sz w:val="21"/>
                <w:lang w:val="zh-CN" w:eastAsia="zh-CN"/>
              </w:rPr>
              <w:t>核心工作目标</w:t>
            </w:r>
          </w:p>
        </w:tc>
        <w:tc>
          <w:tcPr>
            <w:tcW w:type="dxa" w:w="3798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left w:val="nil" w:sz="4" w:color="000000"/>
              <w:right w:val="nil" w:sz="4" w:color="000000"/>
              <w:top w:val="single" w:sz="10" w:color="000000"/>
              <w:bottom w:val="single" w:sz="6" w:color="000000"/>
            </w:tcBorders>
          </w:tcPr>
          <w:p>
            <w:pPr>
              <w:keepNext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/>
                <w:color w:val="000000"/>
                <w:sz w:val="21"/>
                <w:lang w:val="zh-CN" w:eastAsia="zh-CN"/>
              </w:rPr>
              <w:t>边界</w:t>
            </w:r>
          </w:p>
        </w:tc>
      </w:tr>
      <w:tr>
        <w:trPr>
          <w:cantSplit/>
          <w:cantSplit/>
        </w:trPr>
        <w:tc>
          <w:tcPr>
            <w:tcW w:type="dxa" w:w="1417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患者</w:t>
            </w:r>
          </w:p>
        </w:tc>
        <w:tc>
          <w:tcPr>
            <w:tcW w:type="dxa" w:w="368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预约、核对本人安排与费用、登记候补</w:t>
            </w:r>
          </w:p>
        </w:tc>
        <w:tc>
          <w:tcPr>
            <w:tcW w:type="dxa" w:w="3798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仅本人绑定资料；不编辑治疗</w:t>
            </w:r>
          </w:p>
        </w:tc>
      </w:tr>
      <w:tr>
        <w:trPr>
          <w:cantSplit/>
          <w:cantSplit/>
        </w:trPr>
        <w:tc>
          <w:tcPr>
            <w:tcW w:type="dxa" w:w="1417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前台</w:t>
            </w:r>
          </w:p>
        </w:tc>
        <w:tc>
          <w:tcPr>
            <w:tcW w:type="dxa" w:w="368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建档、预约协调、真实到诊登记</w:t>
            </w:r>
          </w:p>
        </w:tc>
        <w:tc>
          <w:tcPr>
            <w:tcW w:type="dxa" w:w="3798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当前诊所；代办需患者明确意思</w:t>
            </w:r>
          </w:p>
        </w:tc>
      </w:tr>
      <w:tr>
        <w:trPr>
          <w:cantSplit/>
          <w:cantSplit/>
        </w:trPr>
        <w:tc>
          <w:tcPr>
            <w:tcW w:type="dxa" w:w="1417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负责牙医</w:t>
            </w:r>
          </w:p>
        </w:tc>
        <w:tc>
          <w:tcPr>
            <w:tcW w:type="dxa" w:w="368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复核信息、记录治疗、核对结算</w:t>
            </w:r>
          </w:p>
        </w:tc>
        <w:tc>
          <w:tcPr>
            <w:tcW w:type="dxa" w:w="3798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本人负责的接诊；专业判断由人承担</w:t>
            </w:r>
          </w:p>
        </w:tc>
      </w:tr>
      <w:tr>
        <w:trPr>
          <w:cantSplit/>
          <w:cantSplit/>
        </w:trPr>
        <w:tc>
          <w:tcPr>
            <w:tcW w:type="dxa" w:w="1417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诊所主管</w:t>
            </w:r>
          </w:p>
        </w:tc>
        <w:tc>
          <w:tcPr>
            <w:tcW w:type="dxa" w:w="368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本店出诊、候补安排与运营查询</w:t>
            </w:r>
          </w:p>
        </w:tc>
        <w:tc>
          <w:tcPr>
            <w:tcW w:type="dxa" w:w="3798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先激活身份，再选择授权诊所</w:t>
            </w:r>
          </w:p>
        </w:tc>
      </w:tr>
      <w:tr>
        <w:trPr>
          <w:cantSplit/>
          <w:cantSplit/>
        </w:trPr>
        <w:tc>
          <w:tcPr>
            <w:tcW w:type="dxa" w:w="1417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/>
              <w:ind w:firstLine="0"/>
            </w:pPr>
            <w:r>
              <w:rPr>
                <w:rFonts w:ascii="Liberation Serif" w:hAnsi="Liberation Serif" w:eastAsia="Noto Serif CJK SC"/>
                <w:color w:val="000000"/>
                <w:sz w:val="21"/>
              </w:rPr>
              <w:t>总部</w:t>
            </w:r>
          </w:p>
        </w:tc>
        <w:tc>
          <w:tcPr>
            <w:tcW w:type="dxa" w:w="368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/>
              <w:ind w:firstLine="0"/>
            </w:pPr>
            <w:r>
              <w:rPr>
                <w:rFonts w:ascii="Liberation Serif" w:hAnsi="Liberation Serif" w:eastAsia="Noto Serif CJK SC"/>
                <w:color w:val="000000"/>
                <w:sz w:val="21"/>
              </w:rPr>
              <w:t>全链汇总、季度核对与设备查阅</w:t>
            </w:r>
          </w:p>
        </w:tc>
        <w:tc>
          <w:tcPr>
            <w:tcW w:type="dxa" w:w="3798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/>
              <w:ind w:firstLine="0"/>
            </w:pPr>
            <w:r>
              <w:rPr>
                <w:rFonts w:ascii="Liberation Serif" w:hAnsi="Liberation Serif" w:eastAsia="Noto Serif CJK SC"/>
                <w:color w:val="000000"/>
                <w:sz w:val="21"/>
              </w:rPr>
              <w:t>只读汇总；不代办财务写入或审核</w:t>
            </w:r>
          </w:p>
        </w:tc>
      </w:tr>
      <w:tr>
        <w:trPr>
          <w:cantSplit/>
          <w:cantSplit/>
        </w:trPr>
        <w:tc>
          <w:tcPr>
            <w:tcW w:type="dxa" w:w="1417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/>
              <w:ind w:firstLine="0"/>
            </w:pPr>
            <w:r>
              <w:rPr>
                <w:rFonts w:ascii="Liberation Serif" w:hAnsi="Liberation Serif" w:eastAsia="Noto Serif CJK SC"/>
                <w:color w:val="000000"/>
                <w:sz w:val="21"/>
              </w:rPr>
              <w:t>财务</w:t>
            </w:r>
          </w:p>
        </w:tc>
        <w:tc>
          <w:tcPr>
            <w:tcW w:type="dxa" w:w="368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/>
              <w:ind w:firstLine="0"/>
            </w:pPr>
            <w:r>
              <w:rPr>
                <w:rFonts w:ascii="Liberation Serif" w:hAnsi="Liberation Serif" w:eastAsia="Noto Serif CJK SC"/>
                <w:color w:val="000000"/>
                <w:sz w:val="21"/>
              </w:rPr>
              <w:t>渠道账户、成本、资金及匹配复核</w:t>
            </w:r>
          </w:p>
        </w:tc>
        <w:tc>
          <w:tcPr>
            <w:tcW w:type="dxa" w:w="3798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/>
              <w:ind w:firstLine="0"/>
            </w:pPr>
            <w:r>
              <w:rPr>
                <w:rFonts w:ascii="Liberation Serif" w:hAnsi="Liberation Serif" w:eastAsia="Noto Serif CJK SC"/>
                <w:color w:val="000000"/>
                <w:sz w:val="21"/>
              </w:rPr>
              <w:t>经授权办理；不同账号独立复核</w:t>
            </w:r>
          </w:p>
        </w:tc>
      </w:tr>
      <w:tr>
        <w:trPr>
          <w:cantSplit/>
          <w:cantSplit/>
        </w:trPr>
        <w:tc>
          <w:tcPr>
            <w:tcW w:type="dxa" w:w="1417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10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技术管理</w:t>
            </w:r>
          </w:p>
        </w:tc>
        <w:tc>
          <w:tcPr>
            <w:tcW w:type="dxa" w:w="368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10" w:color="000000"/>
            </w:tcBorders>
          </w:tcPr>
          <w:p>
            <w:pPr>
              <w:keepNext w:val="0"/>
              <w:spacing w:before="40" w:after="40" w:line="310" w:lineRule="exact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普通账号、基础资料登记、资格记录关联与安全处置</w:t>
            </w:r>
          </w:p>
        </w:tc>
        <w:tc>
          <w:tcPr>
            <w:tcW w:type="dxa" w:w="3798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10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不默认获得临床或财务编辑权</w:t>
            </w:r>
          </w:p>
        </w:tc>
      </w:tr>
    </w:tbl>
    <w:p>
      <w:pPr>
        <w:pStyle w:val="Heading2"/>
      </w:pPr>
      <w:r>
        <w:rPr>
          <w:rFonts w:ascii="Liberation Serif" w:hAnsi="Liberation Serif" w:eastAsia="Noto Sans CJK SC"/>
          <w:b/>
          <w:color w:val="000000"/>
          <w:sz w:val="28"/>
        </w:rPr>
        <w:t>3.4 需求清单与优先级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表3-3 需求模块与业务结果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247"/>
        <w:gridCol w:w="6123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模块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优先目标</w:t>
            </w:r>
          </w:p>
        </w:tc>
        <w:tc>
          <w:tcPr>
            <w:tcW w:type="dxa" w:w="6123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受保护业务结果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患者与临床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关键</w:t>
            </w:r>
          </w:p>
        </w:tc>
        <w:tc>
          <w:tcPr>
            <w:tcW w:type="dxa" w:w="6123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稳定编号、到诊、过敏复核、实际治疗、明确结束。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财务与设备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关键</w:t>
            </w:r>
          </w:p>
        </w:tc>
        <w:tc>
          <w:tcPr>
            <w:tcW w:type="dxa" w:w="6123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版本化账单、真实资金及凭据、独立复核、费用来源。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排班与协调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重要</w:t>
            </w:r>
          </w:p>
        </w:tc>
        <w:tc>
          <w:tcPr>
            <w:tcW w:type="dxa" w:w="6123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既有承诺保留、明确受理与复核、消息不代替业务事实。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运行保障</w:t>
            </w:r>
          </w:p>
        </w:tc>
        <w:tc>
          <w:tcPr>
            <w:tcW w:type="dxa" w:w="124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重要</w:t>
            </w:r>
          </w:p>
        </w:tc>
        <w:tc>
          <w:tcPr>
            <w:tcW w:type="dxa" w:w="6123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失败请求可定位、后台进度可观察、未知结果可辨识。</w:t>
            </w:r>
          </w:p>
        </w:tc>
      </w:tr>
    </w:tbl>
    <w:p>
      <w:pPr>
        <w:spacing w:after="0" w:line="20" w:lineRule="exact" w:before="0"/>
        <w:ind w:firstLine="0"/>
      </w:pPr>
      <w:r>
        <w:rPr>
          <w:rFonts w:ascii="Liberation Serif" w:hAnsi="Liberation Serif" w:eastAsia="Noto Serif CJK SC"/>
          <w:b w:val="0"/>
          <w:color w:val="000000"/>
          <w:sz w:val="2"/>
        </w:rPr>
      </w:r>
    </w:p>
    <w:p>
      <w:pPr>
        <w:pStyle w:val="Heading2"/>
      </w:pPr>
      <w:r>
        <w:rPr>
          <w:rFonts w:ascii="Liberation Serif" w:hAnsi="Liberation Serif" w:eastAsia="Noto Sans CJK SC"/>
          <w:b/>
          <w:color w:val="000000"/>
          <w:sz w:val="28"/>
        </w:rPr>
        <w:t>3.5 系统用例分析</w:t>
      </w:r>
    </w:p>
    <w:p>
      <w:pPr>
        <w:pStyle w:val="Heading3"/>
        <w:spacing w:before="0" w:after="0"/>
        <w:textAlignment w:val="baseline"/>
        <w:pageBreakBefore w:val="0"/>
        <w:kinsoku w:val="1"/>
        <w:snapToGrid w:val="0"/>
      </w:pPr>
      <w:r>
        <w:rPr>
          <w:rFonts w:ascii="Liberation Serif" w:hAnsi="Liberation Serif" w:eastAsia="Noto Sans CJK SC"/>
          <w:b/>
          <w:color w:val="000000"/>
          <w:sz w:val="24"/>
        </w:rPr>
        <w:t>3.5.1 患者服务与接诊用例</w:t>
      </w:r>
    </w:p>
    <w:p>
      <w:pPr>
        <w:keepNext w:val="0"/>
        <w:keepLines w:val="0"/>
        <w:pageBreakBefore w:val="0"/>
        <w:widowControl/>
        <w:spacing w:after="0" w:line="440" w:lineRule="exact" w:before="0"/>
        <w:ind w:firstLine="480"/>
        <w:textAlignment w:val="baseline"/>
        <w:kinsoku w:val="1"/>
        <w:snapToGrid w:val="0"/>
      </w:pPr>
      <w:r>
        <w:rPr>
          <w:rFonts w:ascii="Liberation Serif" w:hAnsi="Liberation Serif" w:eastAsia="Noto Serif CJK SC"/>
          <w:color w:val="000000"/>
          <w:sz w:val="24"/>
        </w:rPr>
        <w:t>系统边界为ADC软件。与目标系统直接发生功能交互的外部角色映射为系统执行者；主动发起者为主执行者，目标系统请求其协助者为辅执行者。图中实线箭头采用课件的功能交互方向，不表达用例间的时间先后；一次工作上下文仍只激活一个身份。（课件第138—142、212页）</w:t>
      </w:r>
    </w:p>
    <w:p>
      <w:pPr>
        <w:keepNext/>
        <w:spacing w:line="240" w:lineRule="auto" w:after="0" w:before="0"/>
        <w:ind w:firstLine="0"/>
        <w:jc w:val="center"/>
        <w:textAlignment w:val="baseline"/>
        <w:pageBreakBefore w:val="0"/>
        <w:kinsoku w:val="1"/>
        <w:snapToGrid w:val="0"/>
      </w:pPr>
      <w:r>
        <w:drawing>
          <wp:inline xmlns:a="http://schemas.openxmlformats.org/drawingml/2006/main" xmlns:pic="http://schemas.openxmlformats.org/drawingml/2006/picture">
            <wp:extent cx="5652000" cy="5921143"/>
            <wp:docPr id="33" name="Picture 33" descr="S01；依据系统分析与设计课件重绘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1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592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0" w:after="100"/>
        <w:ind w:firstLine="0"/>
        <w:jc w:val="center"/>
        <w:textAlignment w:val="baseline"/>
        <w:keepNext/>
        <w:pageBreakBefore w:val="0"/>
        <w:kinsoku w:val="1"/>
        <w:snapToGrid w:val="0"/>
      </w:pPr>
      <w:r>
        <w:rPr>
          <w:rFonts w:ascii="Liberation Serif" w:hAnsi="Liberation Serif" w:eastAsia="Noto Serif CJK SC"/>
          <w:color w:val="000000"/>
          <w:sz w:val="21"/>
        </w:rPr>
        <w:t>图3-8  患者服务与接诊系统用例（S01）</w:t>
      </w:r>
    </w:p>
    <w:p>
      <w:pPr>
        <w:keepNext w:val="0"/>
        <w:keepLines w:val="0"/>
        <w:pageBreakBefore w:val="0"/>
        <w:widowControl/>
        <w:spacing w:after="0" w:line="440" w:lineRule="exact" w:before="0"/>
        <w:textAlignment w:val="baseline"/>
        <w:kinsoku w:val="1"/>
        <w:snapToGrid w:val="0"/>
      </w:pPr>
      <w:r>
        <w:rPr>
          <w:rFonts w:ascii="Liberation Serif" w:hAnsi="Liberation Serif" w:eastAsia="Noto Serif CJK SC"/>
          <w:color w:val="000000"/>
          <w:sz w:val="24"/>
        </w:rPr>
        <w:t>SU-04包含SF-01，表示提交预约必须执行共享核验；患者在SU-05中仅取消本人允许取消的预约，前台还可办理本店改期与爽约核实。共用椭圆不代表角色具有相同权限。</w:t>
      </w:r>
    </w:p>
    <w:p>
      <w:pPr>
        <w:pStyle w:val="Heading3"/>
        <w:pageBreakBefore w:val="0"/>
        <w:spacing w:before="0" w:after="0"/>
        <w:textAlignment w:val="baseline"/>
        <w:kinsoku w:val="1"/>
        <w:snapToGrid w:val="0"/>
      </w:pPr>
      <w:r>
        <w:rPr>
          <w:rFonts w:ascii="Liberation Serif" w:hAnsi="Liberation Serif" w:eastAsia="Noto Sans CJK SC"/>
          <w:b/>
          <w:color w:val="000000"/>
          <w:sz w:val="24"/>
        </w:rPr>
        <w:t>3.5.2 候补 财务与运营用例</w:t>
      </w:r>
    </w:p>
    <w:p>
      <w:pPr>
        <w:keepNext/>
        <w:spacing w:line="240" w:lineRule="auto" w:after="0" w:before="0"/>
        <w:ind w:firstLine="0"/>
        <w:jc w:val="center"/>
        <w:textAlignment w:val="baseline"/>
        <w:pageBreakBefore w:val="0"/>
        <w:kinsoku w:val="1"/>
        <w:snapToGrid w:val="0"/>
      </w:pPr>
      <w:r>
        <w:rPr>
          <w:rFonts w:ascii="Noto Serif CJK SC" w:hAnsi="Noto Serif CJK SC" w:eastAsia="Noto Serif CJK SC" w:cs="Noto Serif CJK SC"/>
          <w:color w:val="000000"/>
          <w:sz w:val="24"/>
        </w:rPr>
        <w:drawing>
          <wp:inline xmlns:a="http://schemas.openxmlformats.org/drawingml/2006/main" xmlns:pic="http://schemas.openxmlformats.org/drawingml/2006/picture">
            <wp:extent cx="5623140" cy="6479999"/>
            <wp:docPr id="24" name="Picture 24" descr="S02：依据课程课件重绘。原业务规则和版本状态不变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2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23140" cy="647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0" w:after="100"/>
        <w:ind w:firstLine="0"/>
        <w:jc w:val="center"/>
        <w:textAlignment w:val="baseline"/>
        <w:keepNext/>
        <w:pageBreakBefore w:val="0"/>
        <w:kinsoku w:val="1"/>
        <w:snapToGrid w:val="0"/>
      </w:pPr>
      <w:r>
        <w:rPr>
          <w:rFonts w:ascii="Liberation Serif" w:hAnsi="Liberation Serif" w:eastAsia="Noto Serif CJK SC"/>
          <w:color w:val="000000"/>
          <w:sz w:val="21"/>
        </w:rPr>
        <w:t>图3-9  候补协同、经营核对与标准目录用例（S02）</w:t>
      </w:r>
    </w:p>
    <w:p>
      <w:pPr>
        <w:keepNext w:val="0"/>
        <w:keepLines w:val="0"/>
        <w:pageBreakBefore w:val="0"/>
        <w:widowControl/>
        <w:spacing w:after="0" w:line="440" w:lineRule="exact" w:before="0"/>
        <w:textAlignment w:val="baseline"/>
        <w:kinsoku w:val="1"/>
        <w:snapToGrid w:val="0"/>
      </w:pPr>
      <w:r>
        <w:rPr>
          <w:rFonts w:ascii="Liberation Serif" w:hAnsi="Liberation Serif" w:eastAsia="Noto Serif CJK SC"/>
          <w:color w:val="000000"/>
          <w:sz w:val="24"/>
        </w:rPr>
        <w:t>SF-01与图3-8为同一共享子功能。SU-16仅接受分支复用占用核验，拒绝无需创建预约；SU-10要求不同账号审核，不允许同一账号切换角色自批。SU-23财务可维护、总部只读。取消与创建是不同目标，不滥用extend表示时间先后。</w:t>
      </w:r>
    </w:p>
    <w:p>
      <w:pPr>
        <w:pStyle w:val="Heading3"/>
        <w:pageBreakBefore w:val="0"/>
        <w:spacing w:before="0" w:after="0"/>
        <w:textAlignment w:val="baseline"/>
        <w:kinsoku w:val="1"/>
        <w:snapToGrid w:val="0"/>
      </w:pPr>
      <w:r>
        <w:rPr>
          <w:rFonts w:ascii="Liberation Serif" w:hAnsi="Liberation Serif" w:eastAsia="Noto Sans CJK SC"/>
          <w:b/>
          <w:color w:val="000000"/>
          <w:sz w:val="24"/>
        </w:rPr>
        <w:t>3.5.3 身份 引导与安全用例</w:t>
      </w:r>
    </w:p>
    <w:p>
      <w:pPr>
        <w:keepNext/>
        <w:spacing w:line="240" w:lineRule="auto" w:after="0" w:before="0"/>
        <w:ind w:firstLine="0"/>
        <w:jc w:val="center"/>
        <w:textAlignment w:val="baseline"/>
        <w:pageBreakBefore w:val="0"/>
        <w:kinsoku w:val="1"/>
        <w:snapToGrid w:val="0"/>
      </w:pPr>
      <w:r>
        <w:rPr>
          <w:rFonts w:ascii="Noto Serif CJK SC" w:hAnsi="Noto Serif CJK SC" w:eastAsia="Noto Serif CJK SC" w:cs="Noto Serif CJK SC"/>
          <w:color w:val="000000"/>
          <w:sz w:val="24"/>
        </w:rPr>
        <w:drawing>
          <wp:inline xmlns:a="http://schemas.openxmlformats.org/drawingml/2006/main" xmlns:pic="http://schemas.openxmlformats.org/drawingml/2006/picture">
            <wp:extent cx="5652000" cy="5921143"/>
            <wp:docPr id="25" name="Picture 25" descr="S03：依据课程课件重绘。原业务规则和版本状态不变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3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592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0" w:after="100"/>
        <w:ind w:firstLine="0"/>
        <w:jc w:val="center"/>
        <w:textAlignment w:val="baseline"/>
        <w:keepNext/>
        <w:pageBreakBefore w:val="0"/>
        <w:kinsoku w:val="1"/>
        <w:snapToGrid w:val="0"/>
      </w:pPr>
      <w:r>
        <w:rPr>
          <w:rFonts w:ascii="Liberation Serif" w:hAnsi="Liberation Serif" w:eastAsia="Noto Serif CJK SC"/>
          <w:color w:val="000000"/>
          <w:sz w:val="21"/>
        </w:rPr>
        <w:t>图3-10  公共能力、结果核对及账号安全用例（S03）</w:t>
      </w:r>
    </w:p>
    <w:p>
      <w:pPr>
        <w:keepNext w:val="0"/>
        <w:keepLines w:val="0"/>
        <w:pageBreakBefore w:val="0"/>
        <w:widowControl/>
        <w:spacing w:after="0" w:line="440" w:lineRule="exact" w:before="0"/>
        <w:textAlignment w:val="baseline"/>
        <w:kinsoku w:val="1"/>
        <w:snapToGrid w:val="0"/>
      </w:pPr>
      <w:r>
        <w:rPr>
          <w:rFonts w:ascii="Liberation Serif" w:hAnsi="Liberation Serif" w:eastAsia="Noto Serif CJK SC"/>
          <w:color w:val="000000"/>
          <w:sz w:val="24"/>
        </w:rPr>
        <w:t>SU-01—25及SF-01规约见附录A；SU-26—38见附录B。各用例表示独立可接受的用户目标，不用用例间箭头表达业务办理顺序。原始用例编号保持稳定，新增关系只在规约支持时引入。</w:t>
      </w:r>
    </w:p>
    <w:p>
      <w:pPr>
        <w:pStyle w:val="Heading3"/>
        <w:keepNext/>
        <w:pageBreakBefore w:val="0"/>
        <w:widowControl/>
        <w:spacing w:before="0" w:after="0"/>
      </w:pPr>
      <w:r>
        <w:rPr>
          <w:rFonts w:ascii="Liberation Serif" w:hAnsi="Liberation Serif" w:eastAsia="Noto Sans CJK SC"/>
          <w:b/>
          <w:color w:val="000000"/>
          <w:sz w:val="24"/>
        </w:rPr>
        <w:t>3.5.4 资料与出诊维护用例</w:t>
      </w:r>
    </w:p>
    <w:p>
      <w:pPr>
        <w:keepNext/>
        <w:pageBreakBefore w:val="0"/>
        <w:widowControl/>
        <w:spacing w:line="240" w:lineRule="auto" w:after="0" w:before="0"/>
        <w:ind w:firstLine="0"/>
        <w:jc w:val="center"/>
      </w:pPr>
      <w:r>
        <w:rPr>
          <w:rFonts w:ascii="Times New Roman" w:hAnsi="Times New Roman" w:eastAsia="Noto Serif CJK SC"/>
          <w:b w:val="0"/>
          <w:sz w:val="24"/>
        </w:rPr>
      </w:r>
      <w:r>
        <w:drawing>
          <wp:inline xmlns:a="http://schemas.openxmlformats.org/drawingml/2006/main" xmlns:pic="http://schemas.openxmlformats.org/drawingml/2006/picture">
            <wp:extent cx="5688000" cy="4712914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4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71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pageBreakBefore w:val="0"/>
        <w:widowControl/>
        <w:spacing w:before="0" w:after="100"/>
        <w:ind w:firstLine="0"/>
        <w:jc w:val="center"/>
      </w:pPr>
      <w:r>
        <w:rPr>
          <w:rFonts w:ascii="Liberation Serif" w:hAnsi="Liberation Serif" w:eastAsia="Noto Serif CJK SC"/>
          <w:color w:val="000000"/>
          <w:sz w:val="21"/>
        </w:rPr>
        <w:t>图3-11  资料与出诊维护系统用例（S04）</w:t>
      </w:r>
    </w:p>
    <w:p>
      <w:pPr>
        <w:keepNext w:val="0"/>
        <w:pageBreakBefore w:val="0"/>
        <w:widowControl/>
        <w:spacing w:line="440" w:lineRule="exact" w:before="0" w:after="0"/>
      </w:pPr>
      <w:r>
        <w:rPr>
          <w:rFonts w:ascii="Liberation Serif" w:hAnsi="Liberation Serif" w:eastAsia="Noto Serif CJK SC"/>
          <w:color w:val="000000"/>
          <w:sz w:val="24"/>
        </w:rPr>
        <w:t>角色来自实际业务交互，不因技术管理身份而扩大临床或财务权限；用例之间不以时间先后建立include。详见附录B的SU-26—30。</w:t>
      </w:r>
    </w:p>
    <w:p>
      <w:pPr>
        <w:pStyle w:val="Heading3"/>
        <w:keepNext/>
        <w:pageBreakBefore w:val="0"/>
        <w:widowControl/>
        <w:spacing w:before="0" w:after="0"/>
      </w:pPr>
      <w:r>
        <w:rPr>
          <w:rFonts w:ascii="Liberation Serif" w:hAnsi="Liberation Serif" w:eastAsia="Noto Sans CJK SC"/>
          <w:b/>
          <w:color w:val="000000"/>
          <w:sz w:val="24"/>
        </w:rPr>
        <w:t>3.5.5 责任协调与通知用例</w:t>
      </w:r>
    </w:p>
    <w:p>
      <w:pPr>
        <w:keepNext/>
        <w:pageBreakBefore w:val="0"/>
        <w:widowControl/>
        <w:spacing w:line="240" w:lineRule="auto" w:after="0" w:before="0"/>
        <w:ind w:firstLine="0"/>
        <w:jc w:val="center"/>
      </w:pPr>
      <w:r>
        <w:rPr>
          <w:rFonts w:ascii="Times New Roman" w:hAnsi="Times New Roman" w:eastAsia="Noto Serif CJK SC"/>
          <w:b w:val="0"/>
          <w:sz w:val="24"/>
        </w:rPr>
      </w:r>
      <w:r>
        <w:drawing>
          <wp:inline xmlns:a="http://schemas.openxmlformats.org/drawingml/2006/main" xmlns:pic="http://schemas.openxmlformats.org/drawingml/2006/picture">
            <wp:extent cx="5487096" cy="648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5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70000" cy="66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pageBreakBefore w:val="0"/>
        <w:widowControl/>
        <w:spacing w:before="0" w:after="100"/>
        <w:ind w:firstLine="0"/>
        <w:jc w:val="center"/>
      </w:pPr>
      <w:r>
        <w:rPr>
          <w:rFonts w:ascii="Liberation Serif" w:hAnsi="Liberation Serif" w:eastAsia="Noto Serif CJK SC"/>
          <w:color w:val="000000"/>
          <w:sz w:val="21"/>
        </w:rPr>
        <w:t>图3-12  责任协调与站内通知系统用例（S05）</w:t>
      </w:r>
    </w:p>
    <w:p>
      <w:pPr>
        <w:keepNext w:val="0"/>
        <w:pageBreakBefore w:val="0"/>
        <w:widowControl/>
        <w:spacing w:line="440" w:lineRule="exact" w:before="0" w:after="0"/>
      </w:pPr>
      <w:r>
        <w:rPr>
          <w:rFonts w:ascii="Liberation Serif" w:hAnsi="Liberation Serif" w:eastAsia="Noto Serif CJK SC"/>
          <w:color w:val="000000"/>
          <w:sz w:val="24"/>
        </w:rPr>
        <w:t>前台和主管分别承担受理与独立复核；两者均可查看本人的当前范围消息。通知后台属于内部实现机制，不冒充业务执行者。详见SU-31—38。</w:t>
      </w:r>
    </w:p>
    <w:p>
      <w:pPr>
        <w:pStyle w:val="Heading2"/>
      </w:pPr>
      <w:r>
        <w:rPr>
          <w:rFonts w:ascii="Liberation Serif" w:hAnsi="Liberation Serif" w:eastAsia="Noto Sans CJK SC"/>
          <w:b/>
          <w:color w:val="000000"/>
          <w:sz w:val="28"/>
        </w:rPr>
        <w:t>3.6 用例规约与失败保证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附录A与B保留原始SU-01—38和SF-01完整规约。登录、预约、实际治疗完成和独立更正分别检验身份、对象、事实及审核者。预览不写入业务，确认重验当前授权与事实；回执未知时先查业务结果，不自动重放资金或安排。</w:t>
      </w:r>
    </w:p>
    <w:p>
      <w:pPr>
        <w:pStyle w:val="Heading2"/>
      </w:pPr>
      <w:r>
        <w:rPr>
          <w:rFonts w:ascii="Liberation Serif" w:hAnsi="Liberation Serif" w:eastAsia="Noto Sans CJK SC"/>
          <w:b/>
          <w:color w:val="000000"/>
          <w:sz w:val="28"/>
        </w:rPr>
        <w:t>3.7 业务规则与非功能性需求</w:t>
      </w:r>
    </w:p>
    <w:p>
      <w:pPr>
        <w:keepNext w:val="0"/>
        <w:keepLines/>
        <w:pageBreakBefore w:val="0"/>
        <w:widowControl/>
        <w:spacing w:after="0" w:line="440" w:lineRule="exact" w:before="0"/>
        <w:jc w:val="center"/>
        <w:textAlignment w:val="baseline"/>
        <w:kinsoku w:val="1"/>
        <w:snapToGrid w:val="0"/>
      </w:pPr>
      <w:r>
        <w:rPr>
          <w:rFonts w:ascii="Liberation Serif" w:hAnsi="Liberation Serif" w:eastAsia="Noto Serif CJK SC"/>
          <w:color w:val="000000"/>
          <w:sz w:val="24"/>
        </w:rPr>
        <w:t>表3-4  业务规则汇总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91"/>
        <w:gridCol w:w="7710"/>
      </w:tblGrid>
      <w:tr>
        <w:trPr>
          <w:cantSplit/>
          <w:tblHeader/>
          <w:cantSplit/>
        </w:trPr>
        <w:tc>
          <w:tcPr>
            <w:tcW w:type="dxa" w:w="1191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left w:val="nil" w:sz="4" w:color="000000"/>
              <w:right w:val="nil" w:sz="4" w:color="000000"/>
              <w:top w:val="single" w:sz="10" w:color="000000"/>
              <w:bottom w:val="single" w:sz="6" w:color="000000"/>
            </w:tcBorders>
          </w:tcPr>
          <w:p>
            <w:pPr>
              <w:keepNext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/>
                <w:color w:val="000000"/>
                <w:sz w:val="21"/>
                <w:lang w:val="zh-CN" w:eastAsia="zh-CN"/>
              </w:rPr>
              <w:t>编号</w:t>
            </w:r>
          </w:p>
        </w:tc>
        <w:tc>
          <w:tcPr>
            <w:tcW w:type="dxa" w:w="7710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left w:val="nil" w:sz="4" w:color="000000"/>
              <w:right w:val="nil" w:sz="4" w:color="000000"/>
              <w:top w:val="single" w:sz="10" w:color="000000"/>
              <w:bottom w:val="single" w:sz="6" w:color="000000"/>
            </w:tcBorders>
          </w:tcPr>
          <w:p>
            <w:pPr>
              <w:keepNext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/>
                <w:color w:val="000000"/>
                <w:sz w:val="21"/>
                <w:lang w:val="zh-CN" w:eastAsia="zh-CN"/>
              </w:rPr>
              <w:t>规则内容</w:t>
            </w:r>
          </w:p>
        </w:tc>
      </w:tr>
      <w:tr>
        <w:trPr>
          <w:cantSplit/>
          <w:cantSplit/>
        </w:trPr>
        <w:tc>
          <w:tcPr>
            <w:tcW w:type="dxa" w:w="1191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BR-01</w:t>
            </w:r>
          </w:p>
        </w:tc>
        <w:tc>
          <w:tcPr>
            <w:tcW w:type="dxa" w:w="7710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身份与范围：有效授权、当前激活身份、诊所及对象范围共同核验。唯一身份也须正式激活；切身份清旧店，切店不改身份。</w:t>
            </w:r>
          </w:p>
        </w:tc>
      </w:tr>
      <w:tr>
        <w:trPr>
          <w:cantSplit/>
          <w:cantSplit/>
        </w:trPr>
        <w:tc>
          <w:tcPr>
            <w:tcW w:type="dxa" w:w="1191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BR-02</w:t>
            </w:r>
          </w:p>
        </w:tc>
        <w:tc>
          <w:tcPr>
            <w:tcW w:type="dxa" w:w="7710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资料：跨店复用患者编号；电话不是唯一身份。未知、已确认无已知过敏及具体过敏条目分别保存。</w:t>
            </w:r>
          </w:p>
        </w:tc>
      </w:tr>
      <w:tr>
        <w:trPr>
          <w:cantSplit/>
          <w:cantSplit/>
        </w:trPr>
        <w:tc>
          <w:tcPr>
            <w:tcW w:type="dxa" w:w="1191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BR-03</w:t>
            </w:r>
          </w:p>
        </w:tc>
        <w:tc>
          <w:tcPr>
            <w:tcW w:type="dxa" w:w="7710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时间与占用：开始早于结束；处于有效出诊时段；同一患者或牙医的有效预约与邀约保留不得重叠。</w:t>
            </w:r>
          </w:p>
        </w:tc>
      </w:tr>
      <w:tr>
        <w:trPr>
          <w:cantSplit/>
          <w:cantSplit/>
        </w:trPr>
        <w:tc>
          <w:tcPr>
            <w:tcW w:type="dxa" w:w="1191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BR-04</w:t>
            </w:r>
          </w:p>
        </w:tc>
        <w:tc>
          <w:tcPr>
            <w:tcW w:type="dxa" w:w="7710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状态：已预约、已到诊、治疗完成、无治疗关闭、取消、爽约、改期替代分别处理；普通编辑不任意回退终态。</w:t>
            </w:r>
          </w:p>
        </w:tc>
      </w:tr>
      <w:tr>
        <w:trPr>
          <w:cantSplit/>
          <w:cantSplit/>
        </w:trPr>
        <w:tc>
          <w:tcPr>
            <w:tcW w:type="dxa" w:w="1191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BR-05</w:t>
            </w:r>
          </w:p>
        </w:tc>
        <w:tc>
          <w:tcPr>
            <w:tcW w:type="dxa" w:w="7710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结算历史：实际治疗为计价依据；逐行舍入至分后汇总；闭合就诊恰有一张逻辑结算单，历史版本不原地覆盖。</w:t>
            </w:r>
          </w:p>
        </w:tc>
      </w:tr>
      <w:tr>
        <w:trPr>
          <w:cantSplit/>
          <w:cantSplit/>
        </w:trPr>
        <w:tc>
          <w:tcPr>
            <w:tcW w:type="dxa" w:w="1191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BR-06</w:t>
            </w:r>
          </w:p>
        </w:tc>
        <w:tc>
          <w:tcPr>
            <w:tcW w:type="dxa" w:w="7710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更正与季度：仅允许范围内的数字更正，独立审核；缺失不等于零，只计当前有效账单版本。</w:t>
            </w:r>
          </w:p>
        </w:tc>
      </w:tr>
      <w:tr>
        <w:trPr>
          <w:cantSplit/>
          <w:cantSplit/>
        </w:trPr>
        <w:tc>
          <w:tcPr>
            <w:tcW w:type="dxa" w:w="1191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BR-07</w:t>
            </w:r>
          </w:p>
        </w:tc>
        <w:tc>
          <w:tcPr>
            <w:tcW w:type="dxa" w:w="7710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候补：每患者同时最多一条有效候补；未来14天连续窗口，至少容纳30分钟；邀约有效且经明确接受才建预约。</w:t>
            </w:r>
          </w:p>
        </w:tc>
      </w:tr>
      <w:tr>
        <w:trPr>
          <w:cantSplit/>
          <w:cantSplit/>
        </w:trPr>
        <w:tc>
          <w:tcPr>
            <w:tcW w:type="dxa" w:w="1191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BR-08</w:t>
            </w:r>
          </w:p>
        </w:tc>
        <w:tc>
          <w:tcPr>
            <w:tcW w:type="dxa" w:w="7710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排程：最多60条需求、80个出诊块、200个候选格；只对枚举图最大匹配；草案超过15分钟不得首次发布。</w:t>
            </w:r>
          </w:p>
        </w:tc>
      </w:tr>
      <w:tr>
        <w:trPr>
          <w:cantSplit/>
          <w:cantSplit/>
        </w:trPr>
        <w:tc>
          <w:tcPr>
            <w:tcW w:type="dxa" w:w="1191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BR-09</w:t>
            </w:r>
          </w:p>
        </w:tc>
        <w:tc>
          <w:tcPr>
            <w:tcW w:type="dxa" w:w="7710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引导：页面与步骤来自维护目录；不自动点击或提交；外部模型可选，不将“下一步”当作业务成功。</w:t>
            </w:r>
          </w:p>
        </w:tc>
      </w:tr>
      <w:tr>
        <w:trPr>
          <w:cantSplit/>
          <w:cantSplit/>
        </w:trPr>
        <w:tc>
          <w:tcPr>
            <w:tcW w:type="dxa" w:w="1191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BR-10</w:t>
            </w:r>
          </w:p>
        </w:tc>
        <w:tc>
          <w:tcPr>
            <w:tcW w:type="dxa" w:w="7710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指标：按Visit而非治疗行计数；未来、改期替代、诊所取消与待核实分别列示；零分母显示N/A。</w:t>
            </w:r>
          </w:p>
        </w:tc>
      </w:tr>
      <w:tr>
        <w:trPr>
          <w:cantSplit/>
          <w:cantSplit/>
        </w:trPr>
        <w:tc>
          <w:tcPr>
            <w:tcW w:type="dxa" w:w="1191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BR-11</w:t>
            </w:r>
          </w:p>
        </w:tc>
        <w:tc>
          <w:tcPr>
            <w:tcW w:type="dxa" w:w="7710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账号：目标状态、操作者和权限重新核验；普通停用遵守业务交接，紧急安全封禁按BR-15独立处理。</w:t>
            </w:r>
          </w:p>
        </w:tc>
      </w:tr>
      <w:tr>
        <w:trPr>
          <w:cantSplit/>
          <w:cantSplit/>
        </w:trPr>
        <w:tc>
          <w:tcPr>
            <w:tcW w:type="dxa" w:w="1191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BR-12</w:t>
            </w:r>
          </w:p>
        </w:tc>
        <w:tc>
          <w:tcPr>
            <w:tcW w:type="dxa" w:w="7710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目录：标准单价变化不回写已存治疗快照和历史结算；财务维护、总部只读。</w:t>
            </w:r>
          </w:p>
        </w:tc>
      </w:tr>
      <w:tr>
        <w:trPr>
          <w:cantSplit/>
          <w:cantSplit/>
        </w:trPr>
        <w:tc>
          <w:tcPr>
            <w:tcW w:type="dxa" w:w="1191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BR-13</w:t>
            </w:r>
          </w:p>
        </w:tc>
        <w:tc>
          <w:tcPr>
            <w:tcW w:type="dxa" w:w="7710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结果：沿选定候补—邀约—预约关联核对；区分曾转换成功与当前预约状态；查询失败不推断原办理失败。</w:t>
            </w:r>
          </w:p>
        </w:tc>
      </w:tr>
      <w:tr>
        <w:trPr>
          <w:cantSplit/>
          <w:cantSplit/>
        </w:trPr>
        <w:tc>
          <w:tcPr>
            <w:tcW w:type="dxa" w:w="1191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BR-14</w:t>
            </w:r>
          </w:p>
        </w:tc>
        <w:tc>
          <w:tcPr>
            <w:tcW w:type="dxa" w:w="7710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只读模式：按经审核的路由与操作语义放行受限查询，不将所有POST等同写入；任何业务写操作仍受限。</w:t>
            </w:r>
          </w:p>
        </w:tc>
      </w:tr>
      <w:tr>
        <w:trPr>
          <w:cantSplit/>
          <w:cantSplit/>
        </w:trPr>
        <w:tc>
          <w:tcPr>
            <w:tcW w:type="dxa" w:w="1191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10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BR-15</w:t>
            </w:r>
          </w:p>
        </w:tc>
        <w:tc>
          <w:tcPr>
            <w:tcW w:type="dxa" w:w="7710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10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安全封禁：立即停止受控普通账号访问并使原凭据失效，不等待未闭合业务、不自动取消预约；恢复先重置再启用。</w:t>
            </w:r>
          </w:p>
        </w:tc>
      </w:tr>
    </w:tbl>
    <w:p>
      <w:pPr>
        <w:keepNext w:val="0"/>
        <w:keepLines w:val="0"/>
        <w:pageBreakBefore w:val="0"/>
        <w:widowControl/>
        <w:spacing w:after="0" w:line="440" w:lineRule="exact" w:before="0"/>
        <w:ind w:firstLine="480"/>
        <w:textAlignment w:val="baseline"/>
        <w:kinsoku w:val="1"/>
        <w:snapToGrid w:val="0"/>
      </w:pPr>
      <w:r>
        <w:rPr>
          <w:rFonts w:ascii="Liberation Serif" w:hAnsi="Liberation Serif" w:eastAsia="Noto Serif CJK SC"/>
          <w:color w:val="000000"/>
          <w:sz w:val="24"/>
        </w:rPr>
        <w:t>令t为服务器核验时刻，s为候补最早可开始时间，e为最晚必须结束时间。候选代码采用s&gt;t、e−s≥30分钟、e≤t+14天。跨多天窗口表示一个连续可接受区间，不表示每天重复的时段。合法偏好仍不保证存在匹配资源。</w:t>
      </w:r>
    </w:p>
    <w:p>
      <w:pPr>
        <w:keepNext w:val="0"/>
        <w:keepLines/>
        <w:pageBreakBefore w:val="0"/>
        <w:widowControl/>
        <w:spacing w:after="0" w:line="440" w:lineRule="exact" w:before="0"/>
        <w:jc w:val="center"/>
        <w:textAlignment w:val="baseline"/>
        <w:kinsoku w:val="1"/>
        <w:snapToGrid w:val="0"/>
      </w:pPr>
      <w:r>
        <w:rPr>
          <w:rFonts w:ascii="Liberation Serif" w:hAnsi="Liberation Serif" w:eastAsia="Noto Serif CJK SC"/>
          <w:color w:val="000000"/>
          <w:sz w:val="24"/>
        </w:rPr>
        <w:t>表3-5  关键边界决策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8"/>
        <w:gridCol w:w="5443"/>
      </w:tblGrid>
      <w:tr>
        <w:trPr>
          <w:cantSplit/>
          <w:tblHeader/>
          <w:cantSplit/>
        </w:trPr>
        <w:tc>
          <w:tcPr>
            <w:tcW w:type="dxa" w:w="3458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left w:val="nil" w:sz="4" w:color="000000"/>
              <w:right w:val="nil" w:sz="4" w:color="000000"/>
              <w:top w:val="single" w:sz="10" w:color="000000"/>
              <w:bottom w:val="single" w:sz="6" w:color="000000"/>
            </w:tcBorders>
          </w:tcPr>
          <w:p>
            <w:pPr>
              <w:keepNext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/>
                <w:color w:val="000000"/>
                <w:sz w:val="21"/>
                <w:lang w:val="zh-CN" w:eastAsia="zh-CN"/>
              </w:rPr>
              <w:t>条件</w:t>
            </w:r>
          </w:p>
        </w:tc>
        <w:tc>
          <w:tcPr>
            <w:tcW w:type="dxa" w:w="5443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left w:val="nil" w:sz="4" w:color="000000"/>
              <w:right w:val="nil" w:sz="4" w:color="000000"/>
              <w:top w:val="single" w:sz="10" w:color="000000"/>
              <w:bottom w:val="single" w:sz="6" w:color="000000"/>
            </w:tcBorders>
          </w:tcPr>
          <w:p>
            <w:pPr>
              <w:keepNext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/>
                <w:color w:val="000000"/>
                <w:sz w:val="21"/>
                <w:lang w:val="zh-CN" w:eastAsia="zh-CN"/>
              </w:rPr>
              <w:t>规范结果</w:t>
            </w:r>
          </w:p>
        </w:tc>
      </w:tr>
      <w:tr>
        <w:trPr>
          <w:cantSplit/>
          <w:cantSplit/>
        </w:trPr>
        <w:tc>
          <w:tcPr>
            <w:tcW w:type="dxa" w:w="3458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s=t、e≤s或不足30分钟</w:t>
            </w:r>
          </w:p>
        </w:tc>
        <w:tc>
          <w:tcPr>
            <w:tcW w:type="dxa" w:w="5443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指出对应字段，不保存候补。</w:t>
            </w:r>
          </w:p>
        </w:tc>
      </w:tr>
      <w:tr>
        <w:trPr>
          <w:cantSplit/>
          <w:cantSplit/>
        </w:trPr>
        <w:tc>
          <w:tcPr>
            <w:tcW w:type="dxa" w:w="3458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首次接受时t≥截止时刻</w:t>
            </w:r>
          </w:p>
        </w:tc>
        <w:tc>
          <w:tcPr>
            <w:tcW w:type="dxa" w:w="5443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拒绝首次接受，不创建预约。</w:t>
            </w:r>
          </w:p>
        </w:tc>
      </w:tr>
      <w:tr>
        <w:trPr>
          <w:cantSplit/>
          <w:cantSplit/>
        </w:trPr>
        <w:tc>
          <w:tcPr>
            <w:tcW w:type="dxa" w:w="3458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已接受后再次提交</w:t>
            </w:r>
          </w:p>
        </w:tc>
        <w:tc>
          <w:tcPr>
            <w:tcW w:type="dxa" w:w="5443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先核验当前权限，再返回既有预约，不因旧期限已过重建。</w:t>
            </w:r>
          </w:p>
        </w:tc>
      </w:tr>
      <w:tr>
        <w:trPr>
          <w:cantSplit/>
          <w:cantSplit/>
        </w:trPr>
        <w:tc>
          <w:tcPr>
            <w:tcW w:type="dxa" w:w="3458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收到请求但回执丢失</w:t>
            </w:r>
          </w:p>
        </w:tc>
        <w:tc>
          <w:tcPr>
            <w:tcW w:type="dxa" w:w="5443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查询已有结果；不能自动重复办理或断言未保存。</w:t>
            </w:r>
          </w:p>
        </w:tc>
      </w:tr>
      <w:tr>
        <w:trPr>
          <w:cantSplit/>
          <w:cantSplit/>
        </w:trPr>
        <w:tc>
          <w:tcPr>
            <w:tcW w:type="dxa" w:w="3458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10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有未来业务但账号疑似泄露</w:t>
            </w:r>
          </w:p>
        </w:tc>
        <w:tc>
          <w:tcPr>
            <w:tcW w:type="dxa" w:w="5443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10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允许受控安全封禁，保留业务；后续交接另行核验。</w:t>
            </w:r>
          </w:p>
        </w:tc>
      </w:tr>
    </w:tbl>
    <w:p>
      <w:pPr>
        <w:keepNext w:val="0"/>
        <w:keepLines/>
        <w:pageBreakBefore w:val="0"/>
        <w:widowControl/>
        <w:spacing w:after="0" w:line="440" w:lineRule="exact" w:before="0"/>
        <w:jc w:val="center"/>
        <w:textAlignment w:val="baseline"/>
        <w:kinsoku w:val="1"/>
        <w:snapToGrid w:val="0"/>
      </w:pPr>
      <w:r>
        <w:rPr>
          <w:rFonts w:ascii="Liberation Serif" w:hAnsi="Liberation Serif" w:eastAsia="Noto Serif CJK SC"/>
          <w:color w:val="000000"/>
          <w:sz w:val="24"/>
        </w:rPr>
        <w:t>表3-6  质量要求及验证方法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3742"/>
        <w:gridCol w:w="3912"/>
      </w:tblGrid>
      <w:tr>
        <w:trPr>
          <w:cantSplit/>
          <w:tblHeader/>
          <w:cantSplit/>
        </w:trPr>
        <w:tc>
          <w:tcPr>
            <w:tcW w:type="dxa" w:w="1247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left w:val="nil" w:sz="4" w:color="000000"/>
              <w:right w:val="nil" w:sz="4" w:color="000000"/>
              <w:top w:val="single" w:sz="10" w:color="000000"/>
              <w:bottom w:val="single" w:sz="6" w:color="000000"/>
            </w:tcBorders>
          </w:tcPr>
          <w:p>
            <w:pPr>
              <w:keepNext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/>
                <w:color w:val="000000"/>
                <w:sz w:val="21"/>
                <w:lang w:val="zh-CN" w:eastAsia="zh-CN"/>
              </w:rPr>
              <w:t>编号</w:t>
            </w:r>
          </w:p>
        </w:tc>
        <w:tc>
          <w:tcPr>
            <w:tcW w:type="dxa" w:w="3742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left w:val="nil" w:sz="4" w:color="000000"/>
              <w:right w:val="nil" w:sz="4" w:color="000000"/>
              <w:top w:val="single" w:sz="10" w:color="000000"/>
              <w:bottom w:val="single" w:sz="6" w:color="000000"/>
            </w:tcBorders>
          </w:tcPr>
          <w:p>
            <w:pPr>
              <w:keepNext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/>
                <w:color w:val="000000"/>
                <w:sz w:val="21"/>
                <w:lang w:val="zh-CN" w:eastAsia="zh-CN"/>
              </w:rPr>
              <w:t>可测试要求</w:t>
            </w:r>
          </w:p>
        </w:tc>
        <w:tc>
          <w:tcPr>
            <w:tcW w:type="dxa" w:w="3912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left w:val="nil" w:sz="4" w:color="000000"/>
              <w:right w:val="nil" w:sz="4" w:color="000000"/>
              <w:top w:val="single" w:sz="10" w:color="000000"/>
              <w:bottom w:val="single" w:sz="6" w:color="000000"/>
            </w:tcBorders>
          </w:tcPr>
          <w:p>
            <w:pPr>
              <w:keepNext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/>
                <w:color w:val="000000"/>
                <w:sz w:val="21"/>
                <w:lang w:val="zh-CN" w:eastAsia="zh-CN"/>
              </w:rPr>
              <w:t>证据方法</w:t>
            </w:r>
          </w:p>
        </w:tc>
      </w:tr>
      <w:tr>
        <w:trPr>
          <w:cantSplit/>
          <w:cantSplit/>
        </w:trPr>
        <w:tc>
          <w:tcPr>
            <w:tcW w:type="dxa" w:w="1247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NFR-01</w:t>
            </w:r>
          </w:p>
        </w:tc>
        <w:tc>
          <w:tcPr>
            <w:tcW w:type="dxa" w:w="3742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关键事务无部分生效，重复接受只关联一条预约。</w:t>
            </w:r>
          </w:p>
        </w:tc>
        <w:tc>
          <w:tcPr>
            <w:tcW w:type="dxa" w:w="3912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真实PostgreSQL独立连接竞争、失败注入及前后数据核对。</w:t>
            </w:r>
          </w:p>
        </w:tc>
      </w:tr>
      <w:tr>
        <w:trPr>
          <w:cantSplit/>
          <w:cantSplit/>
        </w:trPr>
        <w:tc>
          <w:tcPr>
            <w:tcW w:type="dxa" w:w="1247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NFR-02</w:t>
            </w:r>
          </w:p>
        </w:tc>
        <w:tc>
          <w:tcPr>
            <w:tcW w:type="dxa" w:w="3742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320／390px及桌面主要动作可达；键盘与文本错误提示可用。</w:t>
            </w:r>
          </w:p>
        </w:tc>
        <w:tc>
          <w:tcPr>
            <w:tcW w:type="dxa" w:w="3912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真实模板、浏览器、键盘和辅助技术检查；无AI普通流程仍可用。[15]</w:t>
            </w:r>
          </w:p>
        </w:tc>
      </w:tr>
      <w:tr>
        <w:trPr>
          <w:cantSplit/>
          <w:cantSplit/>
        </w:trPr>
        <w:tc>
          <w:tcPr>
            <w:tcW w:type="dxa" w:w="1247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NFR-03</w:t>
            </w:r>
          </w:p>
        </w:tc>
        <w:tc>
          <w:tcPr>
            <w:tcW w:type="dxa" w:w="3742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直接URL、POST、撤权、旧上下文及受限查询均不得越权。</w:t>
            </w:r>
          </w:p>
        </w:tc>
        <w:tc>
          <w:tcPr>
            <w:tcW w:type="dxa" w:w="3912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角色—对象—范围正反矩阵；不能只查菜单。</w:t>
            </w:r>
          </w:p>
        </w:tc>
      </w:tr>
      <w:tr>
        <w:trPr>
          <w:cantSplit/>
          <w:cantSplit/>
        </w:trPr>
        <w:tc>
          <w:tcPr>
            <w:tcW w:type="dxa" w:w="1247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NFR-04</w:t>
            </w:r>
          </w:p>
        </w:tc>
        <w:tc>
          <w:tcPr>
            <w:tcW w:type="dxa" w:w="3742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指标带分子分母，邀约带期限，核对结论带读取时点。</w:t>
            </w:r>
          </w:p>
        </w:tc>
        <w:tc>
          <w:tcPr>
            <w:tcW w:type="dxa" w:w="3912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固定样本独立计算和字段核对。</w:t>
            </w:r>
          </w:p>
        </w:tc>
      </w:tr>
      <w:tr>
        <w:trPr>
          <w:cantSplit/>
          <w:cantSplit/>
        </w:trPr>
        <w:tc>
          <w:tcPr>
            <w:tcW w:type="dxa" w:w="1247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NFR-05</w:t>
            </w:r>
          </w:p>
        </w:tc>
        <w:tc>
          <w:tcPr>
            <w:tcW w:type="dxa" w:w="3742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升级保留历史，备份能够恢复；公网配置单独验收。</w:t>
            </w:r>
          </w:p>
        </w:tc>
        <w:tc>
          <w:tcPr>
            <w:tcW w:type="dxa" w:w="3912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隔离空库恢复、登录与金额核验；归档可读不等于恢复成功。</w:t>
            </w:r>
          </w:p>
        </w:tc>
      </w:tr>
      <w:tr>
        <w:trPr>
          <w:cantSplit/>
          <w:cantSplit/>
        </w:trPr>
        <w:tc>
          <w:tcPr>
            <w:tcW w:type="dxa" w:w="1247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10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NFR-06</w:t>
            </w:r>
          </w:p>
        </w:tc>
        <w:tc>
          <w:tcPr>
            <w:tcW w:type="dxa" w:w="3742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10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性能目标与已测能力分开，求解、AI、导出单独记录。</w:t>
            </w:r>
          </w:p>
        </w:tc>
        <w:tc>
          <w:tcPr>
            <w:tcW w:type="dxa" w:w="3912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10" w:color="000000"/>
            </w:tcBorders>
          </w:tcPr>
          <w:p>
            <w:pPr>
              <w:keepNext w:val="0"/>
              <w:spacing w:line="310" w:lineRule="exact"/>
              <w:ind w:firstLine="0"/>
            </w:pPr>
            <w:r>
              <w:rPr>
                <w:rFonts w:ascii="Liberation Serif" w:hAnsi="Liberation Serif" w:eastAsia="Noto Serif CJK SC"/>
                <w:color w:val="000000"/>
                <w:sz w:val="21"/>
              </w:rPr>
              <w:t>原RC拟基准30店／60牙医／1万患者／10万Visit／20并发，列表p95≤2秒、提交p95≤3秒，属于历史目标；当前按五店已测、二十店待验收分开取证（第5、6章）。</w:t>
            </w:r>
          </w:p>
        </w:tc>
      </w:tr>
    </w:tbl>
    <w:p>
      <w:pPr>
        <w:keepNext w:val="0"/>
        <w:keepLines w:val="0"/>
        <w:pageBreakBefore w:val="0"/>
        <w:widowControl/>
        <w:spacing w:after="0" w:line="440" w:lineRule="exact" w:before="0"/>
        <w:textAlignment w:val="baseline"/>
        <w:kinsoku w:val="1"/>
        <w:snapToGrid w:val="0"/>
      </w:pPr>
      <w:r>
        <w:rPr>
          <w:rFonts w:ascii="Liberation Serif" w:hAnsi="Liberation Serif" w:eastAsia="Noto Serif CJK SC"/>
          <w:color w:val="000000"/>
          <w:sz w:val="24"/>
        </w:rPr>
        <w:t>可测试性、异常响应与维护可读性来自课程要求的规格属性；上述具体指标为项目自定目标，不是教师额外评分线，也不是当前已测结果。[3]</w:t>
      </w:r>
    </w:p>
    <w:p>
      <w:pPr>
        <w:pStyle w:val="Heading2"/>
      </w:pPr>
      <w:r>
        <w:rPr>
          <w:rFonts w:ascii="Liberation Serif" w:hAnsi="Liberation Serif" w:eastAsia="Noto Sans CJK SC"/>
          <w:b/>
          <w:color w:val="000000"/>
          <w:sz w:val="28"/>
        </w:rPr>
        <w:t>3.8 财务与设备管理的细化需求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收款、退款、设备支出与支出冲回分别保留资金事实；业务经办与独立审核分离。账内日结只证明内部四类总额已核对，不证明外部渠道已结算；次日到账可以保持待对账。设备停用或维修不直接撤销已有患者承诺，必须经原有协调流程处理。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表3-7 财务与设备补充需求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257"/>
      </w:tblGrid>
      <w:tr>
        <w:trPr>
          <w:cantSplit/>
          <w:tblHeader/>
        </w:trPr>
        <w:tc>
          <w:tcPr>
            <w:tcW w:type="dxa" w:w="181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要求与结果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FIN-01 渠道与凭据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按诊所维护稳定渠道账户；新资金申请将账户和凭据引用绑定签名预览；停用账户不抹去历史。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FIN-02 审核与更正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不同财务账号审核过账、历史补证与凭据更正；原金额不改写，更正后旧匹配失效且可追踪。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FIN-03 逐笔核对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UTF-8 CSV 先预览后确认；相同交易去重，冲突整批拒绝；同店、账户、币种、方向、金额、引用一致才可独立确认一对一匹配。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FIN-04 差异与交接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未供凭据、合并结算、费用和不支持分摊保留为差异；匹配不自动过账、改账单或生成平衡记录。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EQ-01 维护责任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记录设备、维护责任、期限及维修事实，由另一名有权主管验收；不能自行验收或删除历史。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EQ-02 费用与排班衔接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费用关联真实维护或服务来源并独立复核；支出及冲回遵守原资金审核；维修与排班冲突经明确协调处理。</w:t>
            </w:r>
          </w:p>
        </w:tc>
      </w:tr>
    </w:tbl>
    <w:p>
      <w:pPr>
        <w:spacing w:after="0" w:line="20" w:lineRule="exact" w:before="0"/>
        <w:ind w:firstLine="0"/>
      </w:pPr>
      <w:r>
        <w:rPr>
          <w:rFonts w:ascii="Liberation Serif" w:hAnsi="Liberation Serif" w:eastAsia="Noto Serif CJK SC"/>
          <w:b w:val="0"/>
          <w:color w:val="000000"/>
          <w:sz w:val="2"/>
        </w:rPr>
      </w:r>
    </w:p>
    <w:p>
      <w:pPr>
        <w:pStyle w:val="Heading2"/>
      </w:pPr>
      <w:r>
        <w:rPr>
          <w:rFonts w:ascii="Liberation Serif" w:hAnsi="Liberation Serif" w:eastAsia="Noto Sans CJK SC"/>
          <w:b/>
          <w:color w:val="000000"/>
          <w:sz w:val="28"/>
        </w:rPr>
        <w:t>3.9 通知进度与监测失效需求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站内消息入库不是人已阅读，也不是患者同意或任务完成。后台应在空闲时证明数据库轮询仍正常，不能因为近期没有实际投递而报停滞。监测故障本身也必须能够被外部的独立状态读取发现。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表3-8 通知进度与监测需求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257"/>
      </w:tblGrid>
      <w:tr>
        <w:trPr>
          <w:cantSplit/>
          <w:tblHeader/>
        </w:trPr>
        <w:tc>
          <w:tcPr>
            <w:tcW w:type="dxa" w:w="181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要求与结果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R2-04 心跳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分别保留轮询观测时间、最近数据库成功时间和最近非空投递时间；超过90秒无有效成功轮询需检查。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R2-05 到期积压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只统计 PENDING 且 next_attempt_at 不晚于当前时刻的事件；到期时点取原事件与下次尝试的较晚者，年龄下限为零；未来重试单列。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R2-06 条件与事件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状态为 HEALTHY、WARNING、CRITICAL、UNKNOWN；丢失、过期、损坏、外来实例/版本或时钟不一致不能证明健康。相同故障不重复开单，确认不消除条件，连续两次新成功样本才恢复。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R2-06 私有边界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仅私有维护命令和文件，不增加业务角色、公开监测接口或自动外部消息；主管只能查看本店业务通知概况，技术账号不因此获得临床资料。</w:t>
            </w:r>
          </w:p>
        </w:tc>
      </w:tr>
    </w:tbl>
    <w:p>
      <w:pPr>
        <w:spacing w:after="0" w:line="20" w:lineRule="exact" w:before="0"/>
        <w:ind w:firstLine="0"/>
      </w:pPr>
      <w:r>
        <w:rPr>
          <w:rFonts w:ascii="Liberation Serif" w:hAnsi="Liberation Serif" w:eastAsia="Noto Serif CJK SC"/>
          <w:b w:val="0"/>
          <w:color w:val="000000"/>
          <w:sz w:val="2"/>
        </w:rPr>
      </w:r>
    </w:p>
    <w:p>
      <w:pPr>
        <w:spacing w:after="120"/>
        <w:ind w:firstLine="0"/>
      </w:pPr>
      <w:r>
        <w:rPr>
          <w:rFonts w:ascii="Liberation Serif" w:hAnsi="Liberation Serif" w:eastAsia="Noto Serif CJK SC"/>
          <w:b w:val="0"/>
          <w:color w:val="000000"/>
          <w:sz w:val="21"/>
        </w:rPr>
        <w:t>思维导图  患者服务 → 到诊与实际治疗 → 结算与资金证据；排班 → 明确协调 → 责任任务 → 站内消息；运营 → 到期积压 → 私有故障责任。</w:t>
      </w:r>
    </w:p>
    <w:p>
      <w:pPr>
        <w:pStyle w:val="Heading1"/>
        <w:pageBreakBefore/>
      </w:pPr>
      <w:r>
        <w:rPr>
          <w:rFonts w:ascii="Liberation Serif" w:hAnsi="Liberation Serif" w:eastAsia="Noto Sans CJK SC"/>
          <w:b/>
          <w:color w:val="000000"/>
          <w:sz w:val="32"/>
        </w:rPr>
        <w:t>第4章 系统设计</w:t>
      </w:r>
    </w:p>
    <w:p>
      <w:pPr>
        <w:pStyle w:val="Heading2"/>
        <w:spacing w:before="0" w:after="0"/>
        <w:textAlignment w:val="baseline"/>
        <w:pageBreakBefore w:val="0"/>
        <w:kinsoku w:val="1"/>
        <w:snapToGrid w:val="0"/>
      </w:pPr>
      <w:r>
        <w:rPr>
          <w:rFonts w:ascii="Liberation Serif" w:hAnsi="Liberation Serif" w:eastAsia="Noto Sans CJK SC"/>
          <w:b/>
          <w:color w:val="000000"/>
          <w:sz w:val="28"/>
        </w:rPr>
        <w:t>4.1 领域关系与状态模型</w:t>
      </w:r>
    </w:p>
    <w:p>
      <w:pPr>
        <w:keepNext/>
        <w:spacing w:line="240" w:lineRule="auto" w:after="0" w:before="0"/>
        <w:ind w:firstLine="0"/>
        <w:jc w:val="center"/>
        <w:textAlignment w:val="baseline"/>
        <w:pageBreakBefore w:val="0"/>
        <w:kinsoku w:val="1"/>
        <w:snapToGrid w:val="0"/>
      </w:pPr>
      <w:r>
        <w:rPr>
          <w:rFonts w:ascii="Noto Serif CJK SC" w:hAnsi="Noto Serif CJK SC" w:eastAsia="Noto Serif CJK SC" w:cs="Noto Serif CJK SC"/>
          <w:color w:val="000000"/>
          <w:sz w:val="24"/>
        </w:rPr>
        <w:drawing>
          <wp:inline xmlns:a="http://schemas.openxmlformats.org/drawingml/2006/main" xmlns:pic="http://schemas.openxmlformats.org/drawingml/2006/picture">
            <wp:extent cx="5652000" cy="4575429"/>
            <wp:docPr id="26" name="Picture 26" descr="D01：依据课程课件重绘。原业务规则和版本状态不变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1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4575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0" w:after="100"/>
        <w:ind w:firstLine="0"/>
        <w:jc w:val="center"/>
        <w:textAlignment w:val="baseline"/>
        <w:keepNext/>
        <w:pageBreakBefore w:val="0"/>
        <w:kinsoku w:val="1"/>
        <w:snapToGrid w:val="0"/>
      </w:pPr>
      <w:r>
        <w:rPr>
          <w:rFonts w:ascii="Liberation Serif" w:hAnsi="Liberation Serif" w:eastAsia="Noto Serif CJK SC"/>
          <w:color w:val="000000"/>
          <w:sz w:val="21"/>
        </w:rPr>
        <w:t>图4-1  核心概念类及关联多重性（D01）</w:t>
      </w:r>
    </w:p>
    <w:p>
      <w:pPr>
        <w:keepNext w:val="0"/>
        <w:keepLines w:val="0"/>
        <w:pageBreakBefore w:val="0"/>
        <w:widowControl/>
        <w:spacing w:after="0" w:line="440" w:lineRule="exact" w:before="0"/>
        <w:ind w:firstLine="480"/>
        <w:textAlignment w:val="baseline"/>
        <w:kinsoku w:val="1"/>
        <w:snapToGrid w:val="0"/>
      </w:pPr>
      <w:r>
        <w:rPr>
          <w:rFonts w:ascii="Liberation Serif" w:hAnsi="Liberation Serif" w:eastAsia="Noto Serif CJK SC"/>
          <w:color w:val="000000"/>
          <w:sz w:val="24"/>
        </w:rPr>
        <w:t>本图保留R4.2的跨店关系与版本含义，使用类矩形、分隔区、关联名和端点多重性，不画数据库主外键。患者、牙医、诊所通过就诊关联；就诊版本组合其治疗明细，其余关系使用普通关联。结算单关联当前发布版本；闭合就诊恰有一张逻辑结算单。图中属性为节选，不是完整物理ER图。（课件第287—296、305—306页）</w:t>
      </w:r>
    </w:p>
    <w:p>
      <w:pPr>
        <w:keepNext/>
        <w:pageBreakBefore w:val="0"/>
        <w:spacing w:line="240" w:lineRule="auto" w:after="0" w:before="0"/>
        <w:ind w:firstLine="0"/>
        <w:jc w:val="center"/>
        <w:textAlignment w:val="baseline"/>
        <w:kinsoku w:val="1"/>
        <w:snapToGrid w:val="0"/>
      </w:pPr>
      <w:r>
        <w:rPr>
          <w:rFonts w:ascii="Noto Serif CJK SC" w:hAnsi="Noto Serif CJK SC" w:eastAsia="Noto Serif CJK SC" w:cs="Noto Serif CJK SC"/>
          <w:color w:val="000000"/>
          <w:sz w:val="24"/>
        </w:rPr>
        <w:drawing>
          <wp:inline xmlns:a="http://schemas.openxmlformats.org/drawingml/2006/main" xmlns:pic="http://schemas.openxmlformats.org/drawingml/2006/picture">
            <wp:extent cx="5652000" cy="4065054"/>
            <wp:docPr id="27" name="Picture 27" descr="M01：依据课程课件重绘。原业务规则和版本状态不变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4065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0" w:after="100"/>
        <w:ind w:firstLine="0"/>
        <w:jc w:val="center"/>
        <w:textAlignment w:val="baseline"/>
        <w:keepNext/>
        <w:pageBreakBefore w:val="0"/>
        <w:kinsoku w:val="1"/>
        <w:snapToGrid w:val="0"/>
      </w:pPr>
      <w:r>
        <w:rPr>
          <w:rFonts w:ascii="Liberation Serif" w:hAnsi="Liberation Serif" w:eastAsia="Noto Serif CJK SC"/>
          <w:color w:val="000000"/>
          <w:sz w:val="21"/>
        </w:rPr>
        <w:t>图4-2  候补请求状态机及迁移条件（M01）</w:t>
      </w:r>
    </w:p>
    <w:p>
      <w:pPr>
        <w:keepNext w:val="0"/>
        <w:keepLines w:val="0"/>
        <w:pageBreakBefore w:val="0"/>
        <w:widowControl/>
        <w:spacing w:after="0" w:line="440" w:lineRule="exact" w:before="0"/>
        <w:textAlignment w:val="baseline"/>
        <w:kinsoku w:val="1"/>
        <w:snapToGrid w:val="0"/>
      </w:pPr>
      <w:r>
        <w:rPr>
          <w:rFonts w:ascii="Liberation Serif" w:hAnsi="Liberation Serif" w:eastAsia="Noto Serif CJK SC"/>
          <w:color w:val="000000"/>
          <w:sz w:val="24"/>
        </w:rPr>
        <w:t>本状态机只描述候补请求。迁移按“事件[警戒条件]／动作”表达；初始点表示该对象的缺省状态，不是整项业务流程的开始。OFFERED不保证邀约尚有效；到期阻止首次接受，执行回收后才恢复等待。BOOKED保留历史转换事实，后续取消发生在就诊对象上。（课件第339—345、350页）</w:t>
      </w:r>
    </w:p>
    <w:p>
      <w:pPr>
        <w:pStyle w:val="Heading2"/>
        <w:pageBreakBefore w:val="0"/>
        <w:spacing w:before="0" w:after="0"/>
        <w:textAlignment w:val="baseline"/>
        <w:kinsoku w:val="1"/>
        <w:snapToGrid w:val="0"/>
      </w:pPr>
      <w:r>
        <w:rPr>
          <w:rFonts w:ascii="Liberation Serif" w:hAnsi="Liberation Serif" w:eastAsia="Noto Sans CJK SC"/>
          <w:b/>
          <w:color w:val="000000"/>
          <w:sz w:val="28"/>
        </w:rPr>
        <w:t>4.2 模块职责与接口合同</w:t>
      </w:r>
    </w:p>
    <w:p>
      <w:pPr>
        <w:keepNext/>
        <w:spacing w:line="240" w:lineRule="auto" w:after="0" w:before="0"/>
        <w:ind w:firstLine="0"/>
        <w:jc w:val="center"/>
        <w:textAlignment w:val="baseline"/>
        <w:pageBreakBefore w:val="0"/>
        <w:kinsoku w:val="1"/>
        <w:snapToGrid w:val="0"/>
      </w:pPr>
      <w:r>
        <w:rPr>
          <w:rFonts w:ascii="Noto Serif CJK SC" w:hAnsi="Noto Serif CJK SC" w:eastAsia="Noto Serif CJK SC" w:cs="Noto Serif CJK SC"/>
          <w:color w:val="000000"/>
          <w:sz w:val="24"/>
        </w:rPr>
        <w:drawing>
          <wp:inline xmlns:a="http://schemas.openxmlformats.org/drawingml/2006/main" xmlns:pic="http://schemas.openxmlformats.org/drawingml/2006/picture">
            <wp:extent cx="5652000" cy="3042311"/>
            <wp:docPr id="28" name="Picture 28" descr="A01：依据课程课件重绘。原业务规则和版本状态不变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042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0" w:after="100"/>
        <w:ind w:firstLine="0"/>
        <w:jc w:val="center"/>
        <w:textAlignment w:val="baseline"/>
        <w:keepNext/>
        <w:pageBreakBefore w:val="0"/>
        <w:kinsoku w:val="1"/>
        <w:snapToGrid w:val="0"/>
      </w:pPr>
      <w:r>
        <w:rPr>
          <w:rFonts w:ascii="Liberation Serif" w:hAnsi="Liberation Serif" w:eastAsia="Noto Serif CJK SC"/>
          <w:color w:val="000000"/>
          <w:sz w:val="21"/>
        </w:rPr>
        <w:t>图4-3  模块化单体的职责与代表性依赖（A01）</w:t>
      </w:r>
    </w:p>
    <w:p>
      <w:pPr>
        <w:keepNext w:val="0"/>
        <w:keepLines/>
        <w:pageBreakBefore w:val="0"/>
        <w:widowControl/>
        <w:spacing w:after="0" w:line="440" w:lineRule="exact" w:before="0"/>
        <w:jc w:val="center"/>
        <w:textAlignment w:val="baseline"/>
        <w:kinsoku w:val="1"/>
        <w:snapToGrid w:val="0"/>
      </w:pPr>
      <w:r>
        <w:rPr>
          <w:rFonts w:ascii="Liberation Serif" w:hAnsi="Liberation Serif" w:eastAsia="Noto Serif CJK SC"/>
          <w:color w:val="000000"/>
          <w:sz w:val="24"/>
        </w:rPr>
        <w:t>表4-1  模块责任与接口边界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3118"/>
        <w:gridCol w:w="3912"/>
      </w:tblGrid>
      <w:tr>
        <w:trPr>
          <w:cantSplit/>
          <w:tblHeader/>
          <w:cantSplit/>
        </w:trPr>
        <w:tc>
          <w:tcPr>
            <w:tcW w:type="dxa" w:w="1871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left w:val="nil" w:sz="4" w:color="000000"/>
              <w:right w:val="nil" w:sz="4" w:color="000000"/>
              <w:top w:val="single" w:sz="10" w:color="000000"/>
              <w:bottom w:val="single" w:sz="6" w:color="000000"/>
            </w:tcBorders>
          </w:tcPr>
          <w:p>
            <w:pPr>
              <w:keepNext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/>
                <w:color w:val="000000"/>
                <w:sz w:val="21"/>
                <w:lang w:val="zh-CN" w:eastAsia="zh-CN"/>
              </w:rPr>
              <w:t>责任模块</w:t>
            </w:r>
          </w:p>
        </w:tc>
        <w:tc>
          <w:tcPr>
            <w:tcW w:type="dxa" w:w="3118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left w:val="nil" w:sz="4" w:color="000000"/>
              <w:right w:val="nil" w:sz="4" w:color="000000"/>
              <w:top w:val="single" w:sz="10" w:color="000000"/>
              <w:bottom w:val="single" w:sz="6" w:color="000000"/>
            </w:tcBorders>
          </w:tcPr>
          <w:p>
            <w:pPr>
              <w:keepNext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/>
                <w:color w:val="000000"/>
                <w:sz w:val="21"/>
                <w:lang w:val="zh-CN" w:eastAsia="zh-CN"/>
              </w:rPr>
              <w:t>公开合同</w:t>
            </w:r>
          </w:p>
        </w:tc>
        <w:tc>
          <w:tcPr>
            <w:tcW w:type="dxa" w:w="3912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left w:val="nil" w:sz="4" w:color="000000"/>
              <w:right w:val="nil" w:sz="4" w:color="000000"/>
              <w:top w:val="single" w:sz="10" w:color="000000"/>
              <w:bottom w:val="single" w:sz="6" w:color="000000"/>
            </w:tcBorders>
          </w:tcPr>
          <w:p>
            <w:pPr>
              <w:keepNext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/>
                <w:color w:val="000000"/>
                <w:sz w:val="21"/>
                <w:lang w:val="zh-CN" w:eastAsia="zh-CN"/>
              </w:rPr>
              <w:t>必须隐藏或隔离的决定</w:t>
            </w:r>
          </w:p>
        </w:tc>
      </w:tr>
      <w:tr>
        <w:trPr>
          <w:cantSplit/>
          <w:cantSplit/>
        </w:trPr>
        <w:tc>
          <w:tcPr>
            <w:tcW w:type="dxa" w:w="1871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accounts／workspaces</w:t>
            </w:r>
          </w:p>
        </w:tc>
        <w:tc>
          <w:tcPr>
            <w:tcW w:type="dxa" w:w="3118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核验身份、激活角色、选店、治理账号、校验上下文</w:t>
            </w:r>
          </w:p>
        </w:tc>
        <w:tc>
          <w:tcPr>
            <w:tcW w:type="dxa" w:w="3912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授权存储、会话及修订机制；不得由模板自行授权。</w:t>
            </w:r>
          </w:p>
        </w:tc>
      </w:tr>
      <w:tr>
        <w:trPr>
          <w:cantSplit/>
          <w:cantSplit/>
        </w:trPr>
        <w:tc>
          <w:tcPr>
            <w:tcW w:type="dxa" w:w="1871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scheduling／coordination</w:t>
            </w:r>
          </w:p>
        </w:tc>
        <w:tc>
          <w:tcPr>
            <w:tcW w:type="dxa" w:w="3118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预约、变更、候补登记、建议、发布、接受</w:t>
            </w:r>
          </w:p>
        </w:tc>
        <w:tc>
          <w:tcPr>
            <w:tcW w:type="dxa" w:w="3912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占用与锁协议、状态转换；各入口不能复制冲突逻辑。</w:t>
            </w:r>
          </w:p>
        </w:tc>
      </w:tr>
      <w:tr>
        <w:trPr>
          <w:cantSplit/>
          <w:cantSplit/>
        </w:trPr>
        <w:tc>
          <w:tcPr>
            <w:tcW w:type="dxa" w:w="1871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care／finance</w:t>
            </w:r>
          </w:p>
        </w:tc>
        <w:tc>
          <w:tcPr>
            <w:tcW w:type="dxa" w:w="3118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实际治疗、结算、更正、季度核对</w:t>
            </w:r>
          </w:p>
        </w:tc>
        <w:tc>
          <w:tcPr>
            <w:tcW w:type="dxa" w:w="3912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价格快照、当前版本、成本完整性及计算粒度。</w:t>
            </w:r>
          </w:p>
        </w:tc>
      </w:tr>
      <w:tr>
        <w:trPr>
          <w:cantSplit/>
          <w:cantSplit/>
        </w:trPr>
        <w:tc>
          <w:tcPr>
            <w:tcW w:type="dxa" w:w="1871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guidance／assistants</w:t>
            </w:r>
          </w:p>
        </w:tc>
        <w:tc>
          <w:tcPr>
            <w:tcW w:type="dxa" w:w="3118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手动指南、受限结果核对、可选意图分类</w:t>
            </w:r>
          </w:p>
        </w:tc>
        <w:tc>
          <w:tcPr>
            <w:tcW w:type="dxa" w:w="3912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模型输出不决定权限；纯规则不依赖网页布局或外部API。</w:t>
            </w:r>
          </w:p>
        </w:tc>
      </w:tr>
      <w:tr>
        <w:trPr>
          <w:cantSplit/>
          <w:cantSplit/>
        </w:trPr>
        <w:tc>
          <w:tcPr>
            <w:tcW w:type="dxa" w:w="1871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10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operations／查询层</w:t>
            </w:r>
          </w:p>
        </w:tc>
        <w:tc>
          <w:tcPr>
            <w:tcW w:type="dxa" w:w="3118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10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授权范围内指标与事实读取</w:t>
            </w:r>
          </w:p>
        </w:tc>
        <w:tc>
          <w:tcPr>
            <w:tcW w:type="dxa" w:w="3912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10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分母、缺失、期间及查询时点；不改业务状态。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keepNext w:val="0"/>
              <w:spacing w:before="40" w:after="40" w:line="310" w:lineRule="exact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notifications</w:t>
            </w:r>
          </w:p>
        </w:tc>
        <w:tc>
          <w:tcPr>
            <w:tcW w:type="dxa" w:w="3118"/>
          </w:tcPr>
          <w:p>
            <w:pPr>
              <w:keepNext w:val="0"/>
              <w:spacing w:before="40" w:after="40" w:line="310" w:lineRule="exact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事务内记录派发意图、个人收件箱、显式已读和有限重试</w:t>
            </w:r>
          </w:p>
        </w:tc>
        <w:tc>
          <w:tcPr>
            <w:tcW w:type="dxa" w:w="3912"/>
          </w:tcPr>
          <w:p>
            <w:pPr>
              <w:keepNext w:val="0"/>
              <w:spacing w:before="40" w:after="40" w:line="310" w:lineRule="exact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原收件授权与当前权限、去重与重试；消息不驱动任务状态。</w:t>
            </w:r>
          </w:p>
        </w:tc>
      </w:tr>
    </w:tbl>
    <w:p>
      <w:pPr>
        <w:keepNext w:val="0"/>
        <w:keepLines w:val="0"/>
        <w:pageBreakBefore w:val="0"/>
        <w:widowControl/>
        <w:spacing w:after="0" w:line="440" w:lineRule="exact" w:before="0"/>
        <w:textAlignment w:val="baseline"/>
        <w:kinsoku w:val="1"/>
        <w:snapToGrid w:val="0"/>
      </w:pPr>
      <w:r>
        <w:rPr>
          <w:rFonts w:ascii="Liberation Serif" w:hAnsi="Liberation Serif" w:eastAsia="Noto Serif CJK SC"/>
          <w:color w:val="000000"/>
          <w:sz w:val="24"/>
        </w:rPr>
        <w:t>图4-3是责任视图和代表性依赖，不是穷举的源代码导入图。功能与数据应并行细化，模块间联系应尽量少、明确且有序；拆分文件本身不能证明低耦合。[4-5]</w:t>
      </w:r>
    </w:p>
    <w:p>
      <w:pPr>
        <w:pStyle w:val="Heading2"/>
        <w:pageBreakBefore w:val="0"/>
        <w:spacing w:before="0" w:after="0"/>
        <w:textAlignment w:val="baseline"/>
        <w:kinsoku w:val="1"/>
        <w:snapToGrid w:val="0"/>
      </w:pPr>
      <w:r>
        <w:rPr>
          <w:rFonts w:ascii="Liberation Serif" w:hAnsi="Liberation Serif" w:eastAsia="Noto Sans CJK SC"/>
          <w:b/>
          <w:color w:val="000000"/>
          <w:sz w:val="28"/>
        </w:rPr>
        <w:t>4.3 结果核对与只读模式</w:t>
      </w:r>
    </w:p>
    <w:p>
      <w:pPr>
        <w:keepNext/>
        <w:spacing w:line="240" w:lineRule="auto" w:after="0" w:before="0"/>
        <w:ind w:firstLine="0"/>
        <w:jc w:val="center"/>
        <w:textAlignment w:val="baseline"/>
        <w:pageBreakBefore w:val="0"/>
        <w:kinsoku w:val="1"/>
        <w:snapToGrid w:val="0"/>
      </w:pPr>
      <w:r>
        <w:drawing>
          <wp:inline xmlns:a="http://schemas.openxmlformats.org/drawingml/2006/main" xmlns:pic="http://schemas.openxmlformats.org/drawingml/2006/picture">
            <wp:extent cx="5652000" cy="4730933"/>
            <wp:docPr id="34" name="Picture 34" descr="X03；依据系统分析与设计课件重绘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03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4730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0" w:after="100"/>
        <w:ind w:firstLine="0"/>
        <w:jc w:val="center"/>
        <w:textAlignment w:val="baseline"/>
        <w:keepNext/>
        <w:pageBreakBefore w:val="0"/>
        <w:kinsoku w:val="1"/>
        <w:snapToGrid w:val="0"/>
      </w:pPr>
      <w:r>
        <w:rPr>
          <w:rFonts w:ascii="Liberation Serif" w:hAnsi="Liberation Serif" w:eastAsia="Noto Serif CJK SC"/>
          <w:color w:val="000000"/>
          <w:sz w:val="21"/>
        </w:rPr>
        <w:t>图4-4  候补结果核对的分析序列（X03）</w:t>
      </w:r>
    </w:p>
    <w:p>
      <w:pPr>
        <w:keepNext w:val="0"/>
        <w:keepLines w:val="0"/>
        <w:pageBreakBefore w:val="0"/>
        <w:widowControl/>
        <w:spacing w:after="0" w:line="440" w:lineRule="exact" w:before="0"/>
        <w:ind w:firstLine="480"/>
        <w:textAlignment w:val="baseline"/>
        <w:kinsoku w:val="1"/>
        <w:snapToGrid w:val="0"/>
      </w:pPr>
      <w:r>
        <w:rPr>
          <w:rFonts w:ascii="Liberation Serif" w:hAnsi="Liberation Serif" w:eastAsia="Noto Serif CJK SC"/>
          <w:color w:val="000000"/>
          <w:sz w:val="24"/>
        </w:rPr>
        <w:t>图4-4是SU-24的分析责任视图：边界类处理输入输出，控制类分配协作，领域对象判定授权和准确关联。前台路径换用前台接口并核验本店范围。它不是源码调用图；核对不得改写业务记录，会话与日志属于另一层。（课件第287、314—320页）</w:t>
      </w:r>
    </w:p>
    <w:p>
      <w:pPr>
        <w:keepNext w:val="0"/>
        <w:keepLines w:val="0"/>
        <w:pageBreakBefore w:val="0"/>
        <w:widowControl/>
        <w:spacing w:after="0" w:line="440" w:lineRule="exact" w:before="0"/>
        <w:ind w:firstLine="480"/>
        <w:textAlignment w:val="baseline"/>
        <w:kinsoku w:val="1"/>
        <w:snapToGrid w:val="0"/>
      </w:pPr>
      <w:r>
        <w:rPr>
          <w:rFonts w:ascii="Liberation Serif" w:hAnsi="Liberation Serif" w:eastAsia="Noto Serif CJK SC"/>
          <w:color w:val="000000"/>
          <w:sz w:val="24"/>
        </w:rPr>
        <w:t>开发中曾发现只读模式按POST方法一律拒绝，与SU-24携带签名上下文的只读核对冲突。当前实现沿用经审核路由名的受限例外，保留CSRF、当前身份、对象、旧页面令牌和服务端写入检查；本轮再统一全角色只读提示及表单错误定位。[9-10]</w:t>
      </w:r>
    </w:p>
    <w:p>
      <w:pPr>
        <w:keepNext w:val="0"/>
        <w:keepLines w:val="0"/>
        <w:pageBreakBefore w:val="0"/>
        <w:widowControl/>
        <w:spacing w:after="0" w:line="440" w:lineRule="exact" w:before="0"/>
        <w:textAlignment w:val="baseline"/>
        <w:kinsoku w:val="1"/>
        <w:snapToGrid w:val="0"/>
      </w:pPr>
      <w:r>
        <w:rPr>
          <w:rFonts w:ascii="Liberation Serif" w:hAnsi="Liberation Serif" w:eastAsia="Noto Serif CJK SC"/>
          <w:color w:val="000000"/>
          <w:sz w:val="24"/>
        </w:rPr>
        <w:t>放行查询不等于放行所有POST，不采用宽泛路径前缀。HTTP方法和业务副作用是两个不同维度；查询成功仅反映读取时点，不能锁定后续可用性。</w:t>
      </w:r>
    </w:p>
    <w:p>
      <w:pPr>
        <w:pStyle w:val="Heading2"/>
        <w:pageBreakBefore w:val="0"/>
        <w:spacing w:before="0" w:after="0"/>
        <w:textAlignment w:val="baseline"/>
        <w:kinsoku w:val="1"/>
        <w:snapToGrid w:val="0"/>
      </w:pPr>
      <w:r>
        <w:rPr>
          <w:rFonts w:ascii="Liberation Serif" w:hAnsi="Liberation Serif" w:eastAsia="Noto Sans CJK SC"/>
          <w:b/>
          <w:color w:val="000000"/>
          <w:sz w:val="28"/>
        </w:rPr>
        <w:t>4.4 账号安全封禁与业务退役</w:t>
      </w:r>
    </w:p>
    <w:p>
      <w:pPr>
        <w:keepNext w:val="0"/>
        <w:keepLines w:val="0"/>
        <w:pageBreakBefore w:val="0"/>
        <w:widowControl/>
        <w:spacing w:after="0" w:line="440" w:lineRule="exact" w:before="0"/>
        <w:ind w:firstLine="480"/>
        <w:textAlignment w:val="baseline"/>
        <w:kinsoku w:val="1"/>
        <w:snapToGrid w:val="0"/>
      </w:pPr>
      <w:r>
        <w:rPr>
          <w:rFonts w:ascii="Liberation Serif" w:hAnsi="Liberation Serif" w:eastAsia="Noto Serif CJK SC"/>
          <w:color w:val="000000"/>
          <w:sz w:val="24"/>
        </w:rPr>
        <w:t>常规停用要求先处理未闭合业务，以保护业务连续性；但疑似凭据泄露时继续允许访问会妨碍安全处置。SU-25因此将安全访问控制与业务责任交接分离；技术人员只能对受控普通账号操作，不开放自操作、技术账号或超级用户目标。</w:t>
      </w:r>
    </w:p>
    <w:p>
      <w:pPr>
        <w:keepNext/>
        <w:spacing w:line="240" w:lineRule="auto" w:after="0" w:before="0"/>
        <w:ind w:firstLine="0"/>
        <w:jc w:val="center"/>
        <w:textAlignment w:val="baseline"/>
        <w:pageBreakBefore w:val="0"/>
        <w:kinsoku w:val="1"/>
        <w:snapToGrid w:val="0"/>
      </w:pPr>
      <w:r>
        <w:rPr>
          <w:rFonts w:ascii="Noto Serif CJK SC" w:hAnsi="Noto Serif CJK SC" w:eastAsia="Noto Serif CJK SC" w:cs="Noto Serif CJK SC"/>
          <w:color w:val="000000"/>
          <w:sz w:val="24"/>
        </w:rPr>
        <w:drawing>
          <wp:inline xmlns:a="http://schemas.openxmlformats.org/drawingml/2006/main" xmlns:pic="http://schemas.openxmlformats.org/drawingml/2006/picture">
            <wp:extent cx="5020312" cy="3060000"/>
            <wp:docPr id="30" name="Picture 30" descr="A02：依据课程课件重绘。原业务规则和版本状态不变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20312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0" w:after="100"/>
        <w:ind w:firstLine="0"/>
        <w:jc w:val="center"/>
        <w:textAlignment w:val="baseline"/>
        <w:keepNext/>
        <w:pageBreakBefore w:val="0"/>
        <w:kinsoku w:val="1"/>
        <w:snapToGrid w:val="0"/>
      </w:pPr>
      <w:r>
        <w:rPr>
          <w:rFonts w:ascii="Liberation Serif" w:hAnsi="Liberation Serif" w:eastAsia="Noto Serif CJK SC"/>
          <w:color w:val="000000"/>
          <w:sz w:val="21"/>
        </w:rPr>
        <w:t>图4-5  账号安全访问状态及分阶段恢复（A02）</w:t>
      </w:r>
    </w:p>
    <w:p>
      <w:pPr>
        <w:keepNext w:val="0"/>
        <w:keepLines/>
        <w:pageBreakBefore w:val="0"/>
        <w:widowControl/>
        <w:spacing w:after="0" w:line="440" w:lineRule="exact" w:before="0"/>
        <w:jc w:val="center"/>
        <w:textAlignment w:val="baseline"/>
        <w:kinsoku w:val="1"/>
        <w:snapToGrid w:val="0"/>
      </w:pPr>
      <w:r>
        <w:rPr>
          <w:rFonts w:ascii="Liberation Serif" w:hAnsi="Liberation Serif" w:eastAsia="Noto Serif CJK SC"/>
          <w:color w:val="000000"/>
          <w:sz w:val="24"/>
        </w:rPr>
        <w:t>表4-2  安全控制与业务连续性分离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515"/>
        <w:gridCol w:w="3685"/>
      </w:tblGrid>
      <w:tr>
        <w:trPr>
          <w:cantSplit/>
          <w:tblHeader/>
          <w:cantSplit/>
        </w:trPr>
        <w:tc>
          <w:tcPr>
            <w:tcW w:type="dxa" w:w="1701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left w:val="nil" w:sz="4" w:color="000000"/>
              <w:right w:val="nil" w:sz="4" w:color="000000"/>
              <w:top w:val="single" w:sz="10" w:color="000000"/>
              <w:bottom w:val="single" w:sz="6" w:color="000000"/>
            </w:tcBorders>
          </w:tcPr>
          <w:p>
            <w:pPr>
              <w:keepNext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/>
                <w:color w:val="000000"/>
                <w:sz w:val="21"/>
                <w:lang w:val="zh-CN" w:eastAsia="zh-CN"/>
              </w:rPr>
              <w:t>操作</w:t>
            </w:r>
          </w:p>
        </w:tc>
        <w:tc>
          <w:tcPr>
            <w:tcW w:type="dxa" w:w="351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left w:val="nil" w:sz="4" w:color="000000"/>
              <w:right w:val="nil" w:sz="4" w:color="000000"/>
              <w:top w:val="single" w:sz="10" w:color="000000"/>
              <w:bottom w:val="single" w:sz="6" w:color="000000"/>
            </w:tcBorders>
          </w:tcPr>
          <w:p>
            <w:pPr>
              <w:keepNext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/>
                <w:color w:val="000000"/>
                <w:sz w:val="21"/>
                <w:lang w:val="zh-CN" w:eastAsia="zh-CN"/>
              </w:rPr>
              <w:t>凭据与访问</w:t>
            </w:r>
          </w:p>
        </w:tc>
        <w:tc>
          <w:tcPr>
            <w:tcW w:type="dxa" w:w="368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left w:val="nil" w:sz="4" w:color="000000"/>
              <w:right w:val="nil" w:sz="4" w:color="000000"/>
              <w:top w:val="single" w:sz="10" w:color="000000"/>
              <w:bottom w:val="single" w:sz="6" w:color="000000"/>
            </w:tcBorders>
          </w:tcPr>
          <w:p>
            <w:pPr>
              <w:keepNext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/>
                <w:color w:val="000000"/>
                <w:sz w:val="21"/>
                <w:lang w:val="zh-CN" w:eastAsia="zh-CN"/>
              </w:rPr>
              <w:t>既有业务</w:t>
            </w:r>
          </w:p>
        </w:tc>
      </w:tr>
      <w:tr>
        <w:trPr>
          <w:cantSplit/>
          <w:cantSplit/>
        </w:trPr>
        <w:tc>
          <w:tcPr>
            <w:tcW w:type="dxa" w:w="1701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常规业务停用</w:t>
            </w:r>
          </w:p>
        </w:tc>
        <w:tc>
          <w:tcPr>
            <w:tcW w:type="dxa" w:w="351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检查未闭合工作；不满足条件则拒绝</w:t>
            </w:r>
          </w:p>
        </w:tc>
        <w:tc>
          <w:tcPr>
            <w:tcW w:type="dxa" w:w="368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必须先明确处理或交接。</w:t>
            </w:r>
          </w:p>
        </w:tc>
      </w:tr>
      <w:tr>
        <w:trPr>
          <w:cantSplit/>
          <w:cantSplit/>
        </w:trPr>
        <w:tc>
          <w:tcPr>
            <w:tcW w:type="dxa" w:w="1701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紧急安全封禁</w:t>
            </w:r>
          </w:p>
        </w:tc>
        <w:tc>
          <w:tcPr>
            <w:tcW w:type="dxa" w:w="351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停用账号，原凭据设为不可用；使旧上下文失效</w:t>
            </w:r>
          </w:p>
        </w:tc>
        <w:tc>
          <w:tcPr>
            <w:tcW w:type="dxa" w:w="368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不取消预约，不删除角色绑定，不转移治疗责任。</w:t>
            </w:r>
          </w:p>
        </w:tc>
      </w:tr>
      <w:tr>
        <w:trPr>
          <w:cantSplit/>
          <w:cantSplit/>
        </w:trPr>
        <w:tc>
          <w:tcPr>
            <w:tcW w:type="dxa" w:w="1701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受控密码重置</w:t>
            </w:r>
          </w:p>
        </w:tc>
        <w:tc>
          <w:tcPr>
            <w:tcW w:type="dxa" w:w="351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设置新凭据，但仍保持停用</w:t>
            </w:r>
          </w:p>
        </w:tc>
        <w:tc>
          <w:tcPr>
            <w:tcW w:type="dxa" w:w="368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资料和历史保持原值。</w:t>
            </w:r>
          </w:p>
        </w:tc>
      </w:tr>
      <w:tr>
        <w:trPr>
          <w:cantSplit/>
          <w:cantSplit/>
        </w:trPr>
        <w:tc>
          <w:tcPr>
            <w:tcW w:type="dxa" w:w="1701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10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再次明确启用</w:t>
            </w:r>
          </w:p>
        </w:tc>
        <w:tc>
          <w:tcPr>
            <w:tcW w:type="dxa" w:w="351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10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复核后恢复登录；旧会话不因启用自动复活</w:t>
            </w:r>
          </w:p>
        </w:tc>
        <w:tc>
          <w:tcPr>
            <w:tcW w:type="dxa" w:w="368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10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业务交接仍独立办理。</w:t>
            </w:r>
          </w:p>
        </w:tc>
      </w:tr>
    </w:tbl>
    <w:p>
      <w:pPr>
        <w:keepNext w:val="0"/>
        <w:keepLines w:val="0"/>
        <w:pageBreakBefore w:val="0"/>
        <w:widowControl/>
        <w:spacing w:after="0" w:line="440" w:lineRule="exact" w:before="0"/>
        <w:ind w:firstLine="480"/>
        <w:textAlignment w:val="baseline"/>
        <w:kinsoku w:val="1"/>
        <w:snapToGrid w:val="0"/>
      </w:pPr>
      <w:r>
        <w:rPr>
          <w:rFonts w:ascii="Liberation Serif" w:hAnsi="Liberation Serif" w:eastAsia="Noto Serif CJK SC"/>
          <w:color w:val="000000"/>
          <w:sz w:val="24"/>
        </w:rPr>
        <w:t>管理操作要求操作者重新验证密码、填写依据、核对目标签名，并对紧急封禁作专用确认。账号、工作上下文与审计在同一事务内更新。密码变更和会话失效策略参考框架机制，但本项目已纳入当前回归，实际证据见第5章。[11-12]</w:t>
      </w:r>
    </w:p>
    <w:p>
      <w:pPr>
        <w:keepNext w:val="0"/>
        <w:keepLines w:val="0"/>
        <w:pageBreakBefore w:val="0"/>
        <w:widowControl/>
        <w:spacing w:after="0" w:line="440" w:lineRule="exact" w:before="0"/>
        <w:textAlignment w:val="baseline"/>
        <w:kinsoku w:val="1"/>
        <w:snapToGrid w:val="0"/>
      </w:pPr>
      <w:r>
        <w:rPr>
          <w:rFonts w:ascii="Liberation Serif" w:hAnsi="Liberation Serif" w:eastAsia="Noto Serif CJK SC"/>
          <w:color w:val="000000"/>
          <w:sz w:val="24"/>
        </w:rPr>
        <w:t>封禁不撤销提交前已完成的事务，不清除浏览器已显示的信息，也不自动把患者交给另一位牙医。只读实例不执行封禁写入；技术／超级账号仍需离线受控维护。</w:t>
      </w:r>
    </w:p>
    <w:p>
      <w:pPr>
        <w:pStyle w:val="Heading2"/>
        <w:pageBreakBefore w:val="0"/>
        <w:spacing w:before="0" w:after="0"/>
        <w:textAlignment w:val="baseline"/>
        <w:kinsoku w:val="1"/>
        <w:snapToGrid w:val="0"/>
      </w:pPr>
      <w:r>
        <w:rPr>
          <w:rFonts w:ascii="Liberation Serif" w:hAnsi="Liberation Serif" w:eastAsia="Noto Sans CJK SC"/>
          <w:b/>
          <w:color w:val="000000"/>
          <w:sz w:val="28"/>
        </w:rPr>
        <w:t>4.5 生产准备与发布门槛</w:t>
      </w:r>
    </w:p>
    <w:p>
      <w:pPr>
        <w:keepNext w:val="0"/>
        <w:keepLines w:val="0"/>
        <w:pageBreakBefore w:val="0"/>
        <w:widowControl/>
        <w:spacing w:after="0" w:line="440" w:lineRule="exact" w:before="0"/>
        <w:ind w:firstLine="480"/>
        <w:textAlignment w:val="baseline"/>
        <w:kinsoku w:val="1"/>
        <w:snapToGrid w:val="0"/>
      </w:pPr>
      <w:r>
        <w:rPr>
          <w:rFonts w:ascii="Liberation Serif" w:hAnsi="Liberation Serif" w:eastAsia="Noto Serif CJK SC"/>
          <w:color w:val="000000"/>
          <w:sz w:val="24"/>
        </w:rPr>
        <w:t>RC保留原生产配置候选，另增加仅面向本机合成数据的course_demo配置与独立compose.rc.yaml。RC入口使用Gunicorn和Nginx并仅向127.0.0.1开放默认18000端口；数据库不开放宿主机端口。它不是公网HTTPS生产配置；后者仍需独立角色、证书、网络及恢复验收。[9,13-14]</w:t>
      </w:r>
    </w:p>
    <w:p>
      <w:pPr>
        <w:keepNext w:val="0"/>
        <w:keepLines/>
        <w:pageBreakBefore w:val="0"/>
        <w:widowControl/>
        <w:spacing w:after="0" w:line="440" w:lineRule="exact" w:before="0"/>
        <w:jc w:val="center"/>
        <w:textAlignment w:val="baseline"/>
        <w:kinsoku w:val="1"/>
        <w:snapToGrid w:val="0"/>
      </w:pPr>
      <w:r>
        <w:rPr>
          <w:rFonts w:ascii="Liberation Serif" w:hAnsi="Liberation Serif" w:eastAsia="Noto Serif CJK SC"/>
          <w:color w:val="000000"/>
          <w:sz w:val="24"/>
        </w:rPr>
        <w:t>表4-3  生产准备的实现与验证边界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31"/>
        <w:gridCol w:w="3685"/>
        <w:gridCol w:w="3685"/>
      </w:tblGrid>
      <w:tr>
        <w:trPr>
          <w:cantSplit/>
          <w:tblHeader/>
          <w:cantSplit/>
        </w:trPr>
        <w:tc>
          <w:tcPr>
            <w:tcW w:type="dxa" w:w="1531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left w:val="nil" w:sz="4" w:color="000000"/>
              <w:right w:val="nil" w:sz="4" w:color="000000"/>
              <w:top w:val="single" w:sz="10" w:color="000000"/>
              <w:bottom w:val="single" w:sz="6" w:color="000000"/>
            </w:tcBorders>
          </w:tcPr>
          <w:p>
            <w:pPr>
              <w:keepNext/>
              <w:spacing w:line="310" w:lineRule="exact"/>
              <w:ind w:firstLine="0"/>
            </w:pPr>
            <w:r>
              <w:rPr>
                <w:rFonts w:ascii="Liberation Serif" w:hAnsi="Liberation Serif" w:eastAsia="Noto Serif CJK SC"/>
                <w:color w:val="000000"/>
                <w:sz w:val="21"/>
              </w:rPr>
              <w:t>配置环节</w:t>
            </w:r>
          </w:p>
        </w:tc>
        <w:tc>
          <w:tcPr>
            <w:tcW w:type="dxa" w:w="368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left w:val="nil" w:sz="4" w:color="000000"/>
              <w:right w:val="nil" w:sz="4" w:color="000000"/>
              <w:top w:val="single" w:sz="10" w:color="000000"/>
              <w:bottom w:val="single" w:sz="6" w:color="000000"/>
            </w:tcBorders>
          </w:tcPr>
          <w:p>
            <w:pPr>
              <w:keepNext/>
              <w:spacing w:line="310" w:lineRule="exact"/>
              <w:ind w:firstLine="0"/>
            </w:pPr>
            <w:r>
              <w:rPr>
                <w:rFonts w:ascii="Liberation Serif" w:hAnsi="Liberation Serif" w:eastAsia="Noto Serif CJK SC"/>
                <w:color w:val="000000"/>
                <w:sz w:val="21"/>
              </w:rPr>
              <w:t>现有实现</w:t>
            </w:r>
          </w:p>
        </w:tc>
        <w:tc>
          <w:tcPr>
            <w:tcW w:type="dxa" w:w="368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left w:val="nil" w:sz="4" w:color="000000"/>
              <w:right w:val="nil" w:sz="4" w:color="000000"/>
              <w:top w:val="single" w:sz="10" w:color="000000"/>
              <w:bottom w:val="single" w:sz="6" w:color="000000"/>
            </w:tcBorders>
          </w:tcPr>
          <w:p>
            <w:pPr>
              <w:keepNext/>
              <w:spacing w:line="310" w:lineRule="exact"/>
              <w:ind w:firstLine="0"/>
            </w:pPr>
            <w:r>
              <w:rPr>
                <w:rFonts w:ascii="Liberation Serif" w:hAnsi="Liberation Serif" w:eastAsia="Noto Serif CJK SC"/>
                <w:color w:val="000000"/>
                <w:sz w:val="21"/>
              </w:rPr>
              <w:t>本地证据与剩余门槛</w:t>
            </w:r>
          </w:p>
        </w:tc>
      </w:tr>
      <w:tr>
        <w:trPr>
          <w:cantSplit/>
          <w:cantSplit/>
        </w:trPr>
        <w:tc>
          <w:tcPr>
            <w:tcW w:type="dxa" w:w="1531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环境契约</w:t>
            </w:r>
          </w:p>
        </w:tc>
        <w:tc>
          <w:tcPr>
            <w:tcW w:type="dxa" w:w="368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/>
              <w:ind w:firstLine="0"/>
            </w:pPr>
            <w:r>
              <w:rPr>
                <w:rFonts w:ascii="Liberation Serif" w:hAnsi="Liberation Serif" w:eastAsia="Noto Serif CJK SC"/>
                <w:color w:val="000000"/>
                <w:sz w:val="21"/>
              </w:rPr>
              <w:t>显式阶段、目标域名和密钥契约；运行与迁移账号分开；本地数据库仅私网。</w:t>
            </w:r>
          </w:p>
        </w:tc>
        <w:tc>
          <w:tcPr>
            <w:tcW w:type="dxa" w:w="368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/>
              <w:ind w:firstLine="0"/>
            </w:pPr>
            <w:r>
              <w:rPr>
                <w:rFonts w:ascii="Liberation Serif" w:hAnsi="Liberation Serif" w:eastAsia="Noto Serif CJK SC"/>
                <w:color w:val="000000"/>
                <w:sz w:val="21"/>
              </w:rPr>
              <w:t>本地运行权限已有回归；实际云凭据、TLS和网络边界另验收。</w:t>
            </w:r>
          </w:p>
        </w:tc>
      </w:tr>
      <w:tr>
        <w:trPr>
          <w:cantSplit/>
          <w:cantSplit/>
        </w:trPr>
        <w:tc>
          <w:tcPr>
            <w:tcW w:type="dxa" w:w="1531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HTTP服务</w:t>
            </w:r>
          </w:p>
        </w:tc>
        <w:tc>
          <w:tcPr>
            <w:tcW w:type="dxa" w:w="368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/>
              <w:ind w:firstLine="0"/>
            </w:pPr>
            <w:r>
              <w:rPr>
                <w:rFonts w:ascii="Liberation Serif" w:hAnsi="Liberation Serif" w:eastAsia="Noto Serif CJK SC"/>
                <w:color w:val="000000"/>
                <w:sz w:val="21"/>
              </w:rPr>
              <w:t>非root应用、Gunicorn、Nginx和静态入口；独立HTTPS部署准备。</w:t>
            </w:r>
          </w:p>
        </w:tc>
        <w:tc>
          <w:tcPr>
            <w:tcW w:type="dxa" w:w="368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/>
              <w:ind w:firstLine="0"/>
            </w:pPr>
            <w:r>
              <w:rPr>
                <w:rFonts w:ascii="Liberation Serif" w:hAnsi="Liberation Serif" w:eastAsia="Noto Serif CJK SC"/>
                <w:color w:val="000000"/>
                <w:sz w:val="21"/>
              </w:rPr>
              <w:t>Mac本地启动与入口已验证；目标证书、续期及真实公网HTTPS待验收。</w:t>
            </w:r>
          </w:p>
        </w:tc>
      </w:tr>
      <w:tr>
        <w:trPr>
          <w:cantSplit/>
          <w:cantSplit/>
        </w:trPr>
        <w:tc>
          <w:tcPr>
            <w:tcW w:type="dxa" w:w="1531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应用安全</w:t>
            </w:r>
          </w:p>
        </w:tc>
        <w:tc>
          <w:tcPr>
            <w:tcW w:type="dxa" w:w="368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/>
              <w:ind w:firstLine="0"/>
            </w:pPr>
            <w:r>
              <w:rPr>
                <w:rFonts w:ascii="Liberation Serif" w:hAnsi="Liberation Serif" w:eastAsia="Noto Serif CJK SC"/>
                <w:color w:val="000000"/>
                <w:sz w:val="21"/>
              </w:rPr>
              <w:t>分环境关闭DEBUG、Cookie和CSRF设置、HTTPS与只读策略。</w:t>
            </w:r>
          </w:p>
        </w:tc>
        <w:tc>
          <w:tcPr>
            <w:tcW w:type="dxa" w:w="368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/>
              <w:ind w:firstLine="0"/>
            </w:pPr>
            <w:r>
              <w:rPr>
                <w:rFonts w:ascii="Liberation Serif" w:hAnsi="Liberation Serif" w:eastAsia="Noto Serif CJK SC"/>
                <w:color w:val="000000"/>
                <w:sz w:val="21"/>
              </w:rPr>
              <w:t>本地认证、权限和并发已回归；目标域名与完整ASVS评估仍待完成。</w:t>
            </w:r>
          </w:p>
        </w:tc>
      </w:tr>
      <w:tr>
        <w:trPr>
          <w:cantSplit/>
          <w:cantSplit/>
        </w:trPr>
        <w:tc>
          <w:tcPr>
            <w:tcW w:type="dxa" w:w="1531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资源与审计</w:t>
            </w:r>
          </w:p>
        </w:tc>
        <w:tc>
          <w:tcPr>
            <w:tcW w:type="dxa" w:w="368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/>
              <w:ind w:firstLine="0"/>
            </w:pPr>
            <w:r>
              <w:rPr>
                <w:rFonts w:ascii="Liberation Serif" w:hAnsi="Liberation Serif" w:eastAsia="Noto Serif CJK SC"/>
                <w:color w:val="000000"/>
                <w:sz w:val="21"/>
              </w:rPr>
              <w:t>入口限速、安全运行日志、通知心跳及私有条件监测。</w:t>
            </w:r>
          </w:p>
        </w:tc>
        <w:tc>
          <w:tcPr>
            <w:tcW w:type="dxa" w:w="368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/>
              <w:ind w:firstLine="0"/>
            </w:pPr>
            <w:r>
              <w:rPr>
                <w:rFonts w:ascii="Liberation Serif" w:hAnsi="Liberation Serif" w:eastAsia="Noto Serif CJK SC"/>
                <w:color w:val="000000"/>
                <w:sz w:val="21"/>
              </w:rPr>
              <w:t>R2.1限流/日志保留历史证据，R2.2有新监测验收；外部响应与主机事件待完成。</w:t>
            </w:r>
          </w:p>
        </w:tc>
      </w:tr>
      <w:tr>
        <w:trPr>
          <w:cantSplit/>
          <w:cantSplit/>
        </w:trPr>
        <w:tc>
          <w:tcPr>
            <w:tcW w:type="dxa" w:w="1531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隔离验证</w:t>
            </w:r>
          </w:p>
        </w:tc>
        <w:tc>
          <w:tcPr>
            <w:tcW w:type="dxa" w:w="368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/>
              <w:ind w:firstLine="0"/>
            </w:pPr>
            <w:r>
              <w:rPr>
                <w:rFonts w:ascii="Liberation Serif" w:hAnsi="Liberation Serif" w:eastAsia="Noto Serif CJK SC"/>
                <w:color w:val="000000"/>
                <w:sz w:val="21"/>
              </w:rPr>
              <w:t>compose.verify独立项目、临时数据库和合成凭据，无端口暴露。</w:t>
            </w:r>
          </w:p>
        </w:tc>
        <w:tc>
          <w:tcPr>
            <w:tcW w:type="dxa" w:w="368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2" w:color="000000"/>
            </w:tcBorders>
          </w:tcPr>
          <w:p>
            <w:pPr>
              <w:keepNext w:val="0"/>
              <w:spacing w:line="310" w:lineRule="exact"/>
              <w:ind w:firstLine="0"/>
            </w:pPr>
            <w:r>
              <w:rPr>
                <w:rFonts w:ascii="Liberation Serif" w:hAnsi="Liberation Serif" w:eastAsia="Noto Serif CJK SC"/>
                <w:color w:val="000000"/>
                <w:sz w:val="21"/>
              </w:rPr>
              <w:t>准确提交的真实Docker完整回归与CI通过；不复用原业务卷。</w:t>
            </w:r>
          </w:p>
        </w:tc>
      </w:tr>
      <w:tr>
        <w:trPr>
          <w:cantSplit/>
          <w:cantSplit/>
        </w:trPr>
        <w:tc>
          <w:tcPr>
            <w:tcW w:type="dxa" w:w="1531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10" w:color="000000"/>
            </w:tcBorders>
          </w:tcPr>
          <w:p>
            <w:pPr>
              <w:keepNext w:val="0"/>
              <w:spacing w:line="310" w:lineRule="exact" w:after="40" w:before="40"/>
              <w:ind w:firstLine="0"/>
              <w:textAlignment w:val="baseline"/>
              <w:kinsoku w:val="1"/>
              <w:snapToGrid w:val="0"/>
            </w:pPr>
            <w:r>
              <w:rPr>
                <w:rFonts w:ascii="Liberation Serif" w:hAnsi="Liberation Serif" w:eastAsia="Noto Serif CJK SC" w:cs="Noto Serif CJK SC"/>
                <w:b w:val="0"/>
                <w:color w:val="000000"/>
                <w:sz w:val="21"/>
                <w:lang w:val="zh-CN" w:eastAsia="zh-CN"/>
              </w:rPr>
              <w:t>升级与恢复</w:t>
            </w:r>
          </w:p>
        </w:tc>
        <w:tc>
          <w:tcPr>
            <w:tcW w:type="dxa" w:w="368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10" w:color="000000"/>
            </w:tcBorders>
          </w:tcPr>
          <w:p>
            <w:pPr>
              <w:keepNext w:val="0"/>
              <w:spacing w:line="310" w:lineRule="exact"/>
              <w:ind w:firstLine="0"/>
            </w:pPr>
            <w:r>
              <w:rPr>
                <w:rFonts w:ascii="Liberation Serif" w:hAnsi="Liberation Serif" w:eastAsia="Noto Serif CJK SC"/>
                <w:color w:val="000000"/>
                <w:sz w:val="21"/>
              </w:rPr>
              <w:t>保留原迁移；加密备份、独立空库恢复及原Mac保护。</w:t>
            </w:r>
          </w:p>
        </w:tc>
        <w:tc>
          <w:tcPr>
            <w:tcW w:type="dxa" w:w="3685"/>
            <w:vAlign w:val="center"/>
            <w:tcMar>
              <w:top w:w="55" w:type="dxa"/>
              <w:bottom w:w="55" w:type="dxa"/>
              <w:left w:w="90" w:type="dxa"/>
              <w:right w:w="90" w:type="dxa"/>
            </w:tcMar>
            <w:tcBorders>
              <w:top w:val="nil" w:sz="4" w:color="000000"/>
              <w:left w:val="nil" w:sz="4" w:color="000000"/>
              <w:right w:val="nil" w:sz="4" w:color="000000"/>
              <w:bottom w:val="single" w:sz="10" w:color="000000"/>
            </w:tcBorders>
          </w:tcPr>
          <w:p>
            <w:pPr>
              <w:keepNext w:val="0"/>
              <w:spacing w:line="310" w:lineRule="exact"/>
              <w:ind w:firstLine="0"/>
            </w:pPr>
            <w:r>
              <w:rPr>
                <w:rFonts w:ascii="Liberation Serif" w:hAnsi="Liberation Serif" w:eastAsia="Noto Serif CJK SC"/>
                <w:color w:val="000000"/>
                <w:sz w:val="21"/>
              </w:rPr>
              <w:t>合成数据恢复与金额/登录已验证；Windows原数据库未取得，恢复未完成。</w:t>
            </w:r>
          </w:p>
        </w:tc>
      </w:tr>
    </w:tbl>
    <w:p>
      <w:pPr>
        <w:pStyle w:val="Heading2"/>
        <w:spacing w:before="0" w:after="0"/>
        <w:textAlignment w:val="baseline"/>
        <w:pageBreakBefore w:val="0"/>
        <w:kinsoku w:val="1"/>
        <w:snapToGrid w:val="0"/>
      </w:pPr>
      <w:r>
        <w:rPr>
          <w:rFonts w:ascii="Liberation Serif" w:hAnsi="Liberation Serif" w:eastAsia="Noto Sans CJK SC"/>
          <w:b/>
          <w:color w:val="000000"/>
          <w:sz w:val="28"/>
        </w:rPr>
        <w:t>4.6 设计原则在本项目中的应用</w:t>
      </w:r>
    </w:p>
    <w:p>
      <w:pPr>
        <w:keepNext w:val="0"/>
        <w:keepLines w:val="0"/>
        <w:pageBreakBefore w:val="0"/>
        <w:widowControl/>
        <w:spacing w:after="0" w:line="440" w:lineRule="exact" w:before="0"/>
        <w:ind w:firstLine="480"/>
        <w:textAlignment w:val="baseline"/>
        <w:kinsoku w:val="1"/>
        <w:snapToGrid w:val="0"/>
      </w:pPr>
      <w:r>
        <w:rPr>
          <w:rFonts w:ascii="Liberation Serif" w:hAnsi="Liberation Serif" w:eastAsia="Noto Serif CJK SC"/>
          <w:color w:val="000000"/>
          <w:sz w:val="24"/>
        </w:rPr>
        <w:t>关注点分离体现在业务查询与写入、安全封禁与业务退役、预约意向与实际计费的区分。信息隐藏体现在授权、占用、结算和结果解释由小接口承接易变规则。简单性要求首先修复可复现的问题，而不以新增微服务或求解器替代验证。上述均为课程原则的项目应用，不是讲义指定的技术栈。[4-6]</w:t>
      </w:r>
    </w:p>
    <w:p>
      <w:pPr>
        <w:keepNext w:val="0"/>
        <w:keepLines w:val="0"/>
        <w:pageBreakBefore w:val="0"/>
        <w:widowControl/>
        <w:spacing w:after="0" w:line="440" w:lineRule="exact" w:before="0"/>
        <w:textAlignment w:val="baseline"/>
        <w:kinsoku w:val="1"/>
        <w:snapToGrid w:val="0"/>
      </w:pPr>
      <w:r>
        <w:rPr>
          <w:rFonts w:ascii="Liberation Serif" w:hAnsi="Liberation Serif" w:eastAsia="Noto Serif CJK SC"/>
          <w:color w:val="000000"/>
          <w:sz w:val="24"/>
        </w:rPr>
        <w:t>发布门槛：新版本真实数据库与浏览器主链通过；核心越权、重复提交、回滚与历史金额问题关闭；生产配置、恢复和目标环境检查单独取证。独立公网和大型商业化仍需另行验收。</w:t>
      </w:r>
    </w:p>
    <w:p>
      <w:pPr>
        <w:pStyle w:val="Heading2"/>
        <w:keepNext/>
        <w:pageBreakBefore w:val="0"/>
        <w:widowControl/>
        <w:spacing w:before="0" w:after="0"/>
      </w:pPr>
      <w:r>
        <w:rPr>
          <w:rFonts w:ascii="Liberation Serif" w:hAnsi="Liberation Serif" w:eastAsia="Noto Sans CJK SC"/>
          <w:b/>
          <w:color w:val="000000"/>
          <w:sz w:val="28"/>
        </w:rPr>
        <w:t>4.7 协调与通知的数据责任</w:t>
      </w:r>
    </w:p>
    <w:p>
      <w:pPr>
        <w:keepNext/>
        <w:pageBreakBefore w:val="0"/>
        <w:widowControl/>
        <w:spacing w:line="240" w:lineRule="auto" w:after="0" w:before="0"/>
        <w:ind w:firstLine="0"/>
        <w:jc w:val="center"/>
      </w:pPr>
      <w:r>
        <w:rPr>
          <w:rFonts w:ascii="Times New Roman" w:hAnsi="Times New Roman" w:eastAsia="Noto Serif CJK SC"/>
          <w:b w:val="0"/>
          <w:sz w:val="24"/>
        </w:rPr>
      </w:r>
      <w:r>
        <w:drawing>
          <wp:inline xmlns:a="http://schemas.openxmlformats.org/drawingml/2006/main" xmlns:pic="http://schemas.openxmlformats.org/drawingml/2006/picture">
            <wp:extent cx="5507663" cy="648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2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568859" cy="6551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pageBreakBefore w:val="0"/>
        <w:widowControl/>
        <w:spacing w:before="0" w:after="100"/>
        <w:ind w:firstLine="0"/>
        <w:jc w:val="center"/>
      </w:pPr>
      <w:r>
        <w:rPr>
          <w:rFonts w:ascii="Liberation Serif" w:hAnsi="Liberation Serif" w:eastAsia="Noto Serif CJK SC"/>
          <w:color w:val="000000"/>
          <w:sz w:val="21"/>
        </w:rPr>
        <w:t>图4-6  出诊、任务和通知的概念关联（D02）</w:t>
      </w:r>
    </w:p>
    <w:p>
      <w:pPr>
        <w:keepNext w:val="0"/>
        <w:pageBreakBefore w:val="0"/>
        <w:widowControl/>
        <w:spacing w:line="440" w:lineRule="exact" w:before="0" w:after="0"/>
      </w:pPr>
      <w:r>
        <w:rPr>
          <w:rFonts w:ascii="Liberation Serif" w:hAnsi="Liberation Serif" w:eastAsia="Noto Serif CJK SC"/>
          <w:color w:val="000000"/>
          <w:sz w:val="24"/>
        </w:rPr>
        <w:t>补充类图仅展示新增关系；类分栏与端点多重性区分归属。源审计唯一、事件与原授权消息去重等约束由真实数据库回归验证，证据见第5章。既有患者、治疗和账单关系仍见图4-1。</w:t>
      </w:r>
    </w:p>
    <w:p>
      <w:pPr>
        <w:pStyle w:val="Heading2"/>
        <w:keepNext/>
        <w:pageBreakBefore w:val="0"/>
        <w:widowControl/>
        <w:spacing w:before="0" w:after="0"/>
      </w:pPr>
      <w:r>
        <w:rPr>
          <w:rFonts w:ascii="Liberation Serif" w:hAnsi="Liberation Serif" w:eastAsia="Noto Sans CJK SC"/>
          <w:b/>
          <w:color w:val="000000"/>
          <w:sz w:val="28"/>
        </w:rPr>
        <w:t>4.8 任务状态与独立复核</w:t>
      </w:r>
    </w:p>
    <w:p>
      <w:pPr>
        <w:keepNext/>
        <w:pageBreakBefore w:val="0"/>
        <w:widowControl/>
        <w:spacing w:line="240" w:lineRule="auto" w:after="0" w:before="0"/>
        <w:ind w:firstLine="0"/>
        <w:jc w:val="center"/>
      </w:pPr>
      <w:r>
        <w:rPr>
          <w:rFonts w:ascii="Times New Roman" w:hAnsi="Times New Roman" w:eastAsia="Noto Serif CJK SC"/>
          <w:b w:val="0"/>
          <w:sz w:val="24"/>
        </w:rPr>
      </w:r>
      <w:r>
        <w:drawing>
          <wp:inline xmlns:a="http://schemas.openxmlformats.org/drawingml/2006/main" xmlns:pic="http://schemas.openxmlformats.org/drawingml/2006/picture">
            <wp:extent cx="5688000" cy="5992714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2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992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pageBreakBefore w:val="0"/>
        <w:widowControl/>
        <w:spacing w:before="0" w:after="100"/>
        <w:ind w:firstLine="0"/>
        <w:jc w:val="center"/>
      </w:pPr>
      <w:r>
        <w:rPr>
          <w:rFonts w:ascii="Liberation Serif" w:hAnsi="Liberation Serif" w:eastAsia="Noto Serif CJK SC"/>
          <w:color w:val="000000"/>
          <w:sz w:val="21"/>
        </w:rPr>
        <w:t>图4-7  协调任务状态机（M02）</w:t>
      </w:r>
    </w:p>
    <w:p>
      <w:pPr>
        <w:keepNext w:val="0"/>
        <w:pageBreakBefore w:val="0"/>
        <w:widowControl/>
        <w:spacing w:line="440" w:lineRule="exact" w:before="0" w:after="0"/>
      </w:pPr>
      <w:r>
        <w:rPr>
          <w:rFonts w:ascii="Liberation Serif" w:hAnsi="Liberation Serif" w:eastAsia="Noto Serif CJK SC"/>
          <w:color w:val="000000"/>
          <w:sz w:val="24"/>
        </w:rPr>
        <w:t>研究对象为CoordinationTask；任务状态不能代替出诊、预约或消息状态。终态作为历史保存，不把对象的初始点解释为整个业务流程的开始。（课件第339—345、350页）</w:t>
      </w:r>
    </w:p>
    <w:p>
      <w:pPr>
        <w:pStyle w:val="Heading2"/>
        <w:keepNext/>
        <w:pageBreakBefore w:val="0"/>
        <w:widowControl/>
        <w:spacing w:before="0" w:after="0"/>
      </w:pPr>
      <w:r>
        <w:rPr>
          <w:rFonts w:ascii="Liberation Serif" w:hAnsi="Liberation Serif" w:eastAsia="Noto Sans CJK SC"/>
          <w:b/>
          <w:color w:val="000000"/>
          <w:sz w:val="28"/>
        </w:rPr>
        <w:t>4.9 RC运行路径与安全边界</w:t>
      </w:r>
    </w:p>
    <w:p>
      <w:pPr>
        <w:keepNext w:val="0"/>
        <w:pageBreakBefore w:val="0"/>
        <w:widowControl/>
        <w:spacing w:line="440" w:lineRule="exact" w:before="0" w:after="0"/>
      </w:pPr>
      <w:r>
        <w:rPr>
          <w:rFonts w:ascii="Liberation Serif" w:hAnsi="Liberation Serif" w:eastAsia="Noto Serif CJK SC"/>
          <w:color w:val="000000"/>
          <w:sz w:val="24"/>
        </w:rPr>
        <w:t>三种路径使用同一候选源码，但目的与数据权限不同。verify面向临时空库；new-demo仅面向全新合成实例；import-copy仅恢复可信合成备份到新的RC库。任一路径均不得从目录名猜测原v0.7数据卷，也不自动停止或改写原实例。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表4-4 RC运行路径与数据保护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A0A0A0"/>
          <w:bottom w:val="single" w:sz="4" w:color="A0A0A0"/>
          <w:insideH w:val="single" w:sz="4" w:color="A0A0A0"/>
        </w:tblBorders>
      </w:tblPr>
      <w:tblGrid>
        <w:gridCol w:w="2967"/>
        <w:gridCol w:w="2967"/>
        <w:gridCol w:w="2967"/>
      </w:tblGrid>
      <w:tr>
        <w:trPr>
          <w:cantSplit/>
          <w:tblHeader/>
          <w:cantSplit/>
        </w:trPr>
        <w:tc>
          <w:tcPr>
            <w:tcW w:type="dxa" w:w="1587"/>
          </w:tcPr>
          <w:p>
            <w:pPr>
              <w:keepNext/>
              <w:spacing w:after="40" w:before="40" w:line="310" w:lineRule="exact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路径</w:t>
            </w:r>
          </w:p>
        </w:tc>
        <w:tc>
          <w:tcPr>
            <w:tcW w:type="dxa" w:w="3402"/>
          </w:tcPr>
          <w:p>
            <w:pPr>
              <w:keepNext/>
              <w:spacing w:after="40" w:before="40" w:line="310" w:lineRule="exact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前置保护</w:t>
            </w:r>
          </w:p>
        </w:tc>
        <w:tc>
          <w:tcPr>
            <w:tcW w:type="dxa" w:w="4082"/>
          </w:tcPr>
          <w:p>
            <w:pPr>
              <w:keepNext/>
              <w:spacing w:after="40" w:before="40" w:line="310" w:lineRule="exact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结果与剩余验证</w:t>
            </w:r>
          </w:p>
        </w:tc>
      </w:tr>
      <w:tr>
        <w:trPr>
          <w:cantSplit/>
          <w:cantSplit/>
        </w:trPr>
        <w:tc>
          <w:tcPr>
            <w:tcW w:type="dxa" w:w="1587"/>
          </w:tcPr>
          <w:p>
            <w:pPr>
              <w:keepNext w:val="0"/>
              <w:spacing w:after="40" w:before="40" w:line="310" w:lineRule="exact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隔离验证</w:t>
            </w:r>
          </w:p>
        </w:tc>
        <w:tc>
          <w:tcPr>
            <w:tcW w:type="dxa" w:w="3402"/>
          </w:tcPr>
          <w:p>
            <w:pPr>
              <w:keepNext w:val="0"/>
              <w:spacing w:after="40" w:before="40" w:line="310" w:lineRule="exact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独立Compose项目、合成凭据、临时数据库；固定测试配置。</w:t>
            </w:r>
          </w:p>
        </w:tc>
        <w:tc>
          <w:tcPr>
            <w:tcW w:type="dxa" w:w="4082"/>
          </w:tcPr>
          <w:p>
            <w:pPr>
              <w:keepNext w:val="0"/>
              <w:spacing w:after="40" w:before="40" w:line="310" w:lineRule="exact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运行时记录实际依赖；验证容器以root写导出证据，不代表非rootWeb部署已验收。</w:t>
            </w:r>
          </w:p>
        </w:tc>
      </w:tr>
      <w:tr>
        <w:trPr>
          <w:cantSplit/>
          <w:cantSplit/>
        </w:trPr>
        <w:tc>
          <w:tcPr>
            <w:tcW w:type="dxa" w:w="1587"/>
          </w:tcPr>
          <w:p>
            <w:pPr>
              <w:keepNext w:val="0"/>
              <w:spacing w:after="40" w:before="40" w:line="310" w:lineRule="exact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全新演示</w:t>
            </w:r>
          </w:p>
        </w:tc>
        <w:tc>
          <w:tcPr>
            <w:tcW w:type="dxa" w:w="3402"/>
          </w:tcPr>
          <w:p>
            <w:pPr>
              <w:keepNext w:val="0"/>
              <w:spacing w:after="40" w:before="40" w:line="310" w:lineRule="exact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无.env、无既有RC数据卷、无READY标记，显式合成确认。</w:t>
            </w:r>
          </w:p>
        </w:tc>
        <w:tc>
          <w:tcPr>
            <w:tcW w:type="dxa" w:w="4082"/>
          </w:tcPr>
          <w:p>
            <w:pPr>
              <w:keepNext w:val="0"/>
              <w:spacing w:after="40" w:before="40" w:line="310" w:lineRule="exact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空库迁移后初始化；私密文件保存演示凭据；不作用于导入副本。</w:t>
            </w:r>
          </w:p>
        </w:tc>
      </w:tr>
      <w:tr>
        <w:trPr>
          <w:cantSplit/>
          <w:cantSplit/>
        </w:trPr>
        <w:tc>
          <w:tcPr>
            <w:tcW w:type="dxa" w:w="1587"/>
          </w:tcPr>
          <w:p>
            <w:pPr>
              <w:keepNext w:val="0"/>
              <w:spacing w:after="40" w:before="40" w:line="310" w:lineRule="exact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导入副本</w:t>
            </w:r>
          </w:p>
        </w:tc>
        <w:tc>
          <w:tcPr>
            <w:tcW w:type="dxa" w:w="3402"/>
          </w:tcPr>
          <w:p>
            <w:pPr>
              <w:keepNext w:val="0"/>
              <w:spacing w:after="40" w:before="40" w:line="310" w:lineRule="exact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可信备份，新的项目、空数据库；不调用seed或密码重置。</w:t>
            </w:r>
          </w:p>
        </w:tc>
        <w:tc>
          <w:tcPr>
            <w:tcW w:type="dxa" w:w="4082"/>
          </w:tcPr>
          <w:p>
            <w:pPr>
              <w:keepNext w:val="0"/>
              <w:spacing w:after="40" w:before="40" w:line="310" w:lineRule="exact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恢复前后／迁移前后核对范围不同；金额、授权及未覆盖表仍须人工核验。</w:t>
            </w:r>
          </w:p>
        </w:tc>
      </w:tr>
      <w:tr>
        <w:trPr>
          <w:cantSplit/>
          <w:cantSplit/>
        </w:trPr>
        <w:tc>
          <w:tcPr>
            <w:tcW w:type="dxa" w:w="1587"/>
          </w:tcPr>
          <w:p>
            <w:pPr>
              <w:keepNext w:val="0"/>
              <w:spacing w:after="40" w:before="40" w:line="310" w:lineRule="exact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启动与停止</w:t>
            </w:r>
          </w:p>
        </w:tc>
        <w:tc>
          <w:tcPr>
            <w:tcW w:type="dxa" w:w="3402"/>
          </w:tcPr>
          <w:p>
            <w:pPr>
              <w:keepNext w:val="0"/>
              <w:spacing w:after="40" w:before="40" w:line="310" w:lineRule="exact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只有完成准备的实例可启动；停止仅针对本RC项目。</w:t>
            </w:r>
          </w:p>
        </w:tc>
        <w:tc>
          <w:tcPr>
            <w:tcW w:type="dxa" w:w="4082"/>
          </w:tcPr>
          <w:p>
            <w:pPr>
              <w:keepNext w:val="0"/>
              <w:spacing w:after="40" w:before="40" w:line="310" w:lineRule="exact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db健康→schema完成→Web及worker→本地网关。只读worker退出不写；没有删除卷命令。</w:t>
            </w:r>
          </w:p>
        </w:tc>
      </w:tr>
    </w:tbl>
    <w:p>
      <w:pPr>
        <w:keepNext w:val="0"/>
        <w:pageBreakBefore w:val="0"/>
        <w:widowControl/>
        <w:spacing w:line="440" w:lineRule="exact" w:before="0" w:after="0"/>
      </w:pPr>
      <w:r>
        <w:rPr>
          <w:rFonts w:ascii="Liberation Serif" w:hAnsi="Liberation Serif" w:eastAsia="Noto Serif CJK SC"/>
          <w:color w:val="000000"/>
          <w:sz w:val="24"/>
        </w:rPr>
        <w:t>旧就地升级入口在RC中改为停止提示，以免沿用早期脚本忽略新增通知写入端。最终切换前须人工冻结全部旧写入端，重新导出最终数据；演练备份不覆盖之后的新记录。回退也不得忽略RC期间新增数据。</w:t>
      </w:r>
    </w:p>
    <w:p>
      <w:pPr>
        <w:pStyle w:val="Heading2"/>
      </w:pPr>
      <w:r>
        <w:rPr>
          <w:rFonts w:ascii="Liberation Serif" w:hAnsi="Liberation Serif" w:eastAsia="Noto Sans CJK SC"/>
          <w:b/>
          <w:color w:val="000000"/>
          <w:sz w:val="28"/>
        </w:rPr>
        <w:t>4.10 资金证据与设备费用的模块合同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财务模块拥有渠道账户、资金分录、凭据版本、导入批次及匹配决定。前台经办账单收退款凭据，主管经办本店设备凭据和对账建议，财务另行审核；总部获得受控汇总。其他模块通过已定义的操作查询或提交，不直接更改财务记录。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导入保留原 CSV 字节、解析版本和摘要；确认绑定服务端持有的预览并重新校验。证据更正追加版本，撤销相关当前匹配的有效性，但不覆盖原资金与历史决定。设备费用缺失与零值分别表达，收入、实收、支出和冲回不能混用。</w:t>
      </w:r>
    </w:p>
    <w:p>
      <w:pPr>
        <w:pStyle w:val="Heading2"/>
      </w:pPr>
      <w:r>
        <w:rPr>
          <w:rFonts w:ascii="Liberation Serif" w:hAnsi="Liberation Serif" w:eastAsia="Noto Sans CJK SC"/>
          <w:b/>
          <w:color w:val="000000"/>
          <w:sz w:val="28"/>
        </w:rPr>
        <w:t>4.11 请求追踪与安全日志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R2.1 在请求入口生成服务器编号并返回 X-Request-ID，错误页与应用、Gunicorn、网关日志关联。客户端不能指定编号；编号不是操作成功证明、幂等键或访问权限。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日志采用有限事件和字段白名单，不格式化任意异常、SQL参数、请求正文、患者身份或CSV原文。可选日志失败不改变业务成功/拒绝，必要业务审计失败仍回滚。容器日志按容量轮转；七天按时删除与独立受保护收集尚未完成。</w:t>
      </w:r>
    </w:p>
    <w:p>
      <w:pPr>
        <w:pStyle w:val="Heading2"/>
      </w:pPr>
      <w:r>
        <w:rPr>
          <w:rFonts w:ascii="Liberation Serif" w:hAnsi="Liberation Serif" w:eastAsia="Noto Sans CJK SC"/>
          <w:b/>
          <w:color w:val="000000"/>
          <w:sz w:val="28"/>
        </w:rPr>
        <w:t>4.12 通知心跳与私有条件监测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worker 仍通过原来的短事务、SKIP LOCKED 和事件/授权唯一性处理站内消息。数据库轮询完成后才更新成功心跳；心跳写入失败不重做已提交业务。实例、源码、进程轮次、递增序号和时钟共同约束观测身份。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独立 collector 每30秒采样，只读数据库聚合与心跳，并观察内部Web就绪和运行卷空间。worker 心跳卷由 worker 写、collector 只读；监测卷由 collector 写，Web 容器只读以供私有状态命令使用。不挂载 Docker socket，不增加公网端口。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独立 reader 不依赖数据库和 collector 仍在运行；超过90秒无新有效观测时返回 UNKNOWN。故障按目标和条件归并；确认仅保留维护责任代码，不能提前恢复。监测状态使用0700目录与0600文件、限长解析、校验摘要和原子替换；损坏记录保留待受控重置。</w:t>
      </w:r>
    </w:p>
    <w:p>
      <w:pPr>
        <w:pStyle w:val="Heading2"/>
      </w:pPr>
      <w:r>
        <w:rPr>
          <w:rFonts w:ascii="Liberation Serif" w:hAnsi="Liberation Serif" w:eastAsia="Noto Sans CJK SC"/>
          <w:b/>
          <w:color w:val="000000"/>
          <w:sz w:val="28"/>
        </w:rPr>
        <w:t>4.13 状态和存储的边界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运营监测文件不是不可变财务审计，也不是独立备份；摘要用于发现损坏，不能证明文件作者身份。保留最多128个事件生命周期，每个最多16条变化，裁剪只删除已恢复记录并明确累计数量。受控观察重置另保留最多3份先前记录，并从未知状态重新建立观察。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空间信号反映运行卷所在的Docker Linux文件系统，不等于整台Mac磁盘的独立监控。容器OOM/重启的持续主机侧采集、外部告警、备份新鲜度及24小时观察分别属于后续完整R2验收。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224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erations-flow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图4-8 通知处理与私有监测责任视图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1"/>
        </w:rPr>
        <w:t>观察者只能形成诊断和责任记录；预约、任务、消息重试与资金处理仍由原业务操作决定。</w:t>
      </w:r>
    </w:p>
    <w:p>
      <w:pPr>
        <w:spacing w:after="120"/>
        <w:ind w:firstLine="0"/>
      </w:pPr>
      <w:r>
        <w:rPr>
          <w:rFonts w:ascii="Liberation Serif" w:hAnsi="Liberation Serif" w:eastAsia="Noto Serif CJK SC"/>
          <w:b w:val="0"/>
          <w:color w:val="000000"/>
          <w:sz w:val="21"/>
        </w:rPr>
        <w:t>思维导图  受控业务接口 → 数据库事务 → 历史事实；已提交通知 → 独立心跳 → 聚合采样 → 私有状态 → 独立读取与责任确认。</w:t>
      </w:r>
    </w:p>
    <w:p>
      <w:pPr>
        <w:pStyle w:val="Heading1"/>
        <w:pageBreakBefore/>
      </w:pPr>
      <w:r>
        <w:rPr>
          <w:rFonts w:ascii="Liberation Serif" w:hAnsi="Liberation Serif" w:eastAsia="Noto Sans CJK SC"/>
          <w:b/>
          <w:color w:val="000000"/>
          <w:sz w:val="32"/>
        </w:rPr>
        <w:t>第5章 系统实现与测试</w:t>
      </w:r>
    </w:p>
    <w:p>
      <w:pPr>
        <w:pStyle w:val="Heading2"/>
      </w:pPr>
      <w:r>
        <w:rPr>
          <w:rFonts w:ascii="Liberation Serif" w:hAnsi="Liberation Serif" w:eastAsia="Noto Sans CJK SC"/>
          <w:b/>
          <w:color w:val="000000"/>
          <w:sz w:val="28"/>
        </w:rPr>
        <w:t>5.1 软件与硬件环境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当前开发和演示主机为Mac，实际应用运行在独立Docker Linux容器中，使用PostgreSQL 17、Django、Gunicorn和Nginx。保留原演示数据库卷、配置及v1.0.0-rc.1标签；重置Windows主机的原始业务数据库仍未恢复。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独立测试使用自己的实例、端口、网络、账号和卷。故障注入只针对这一环境，不对原Mac业务数据注入测试交易。实际依赖版本、源码身份和执行时间由本轮验收记录提供。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本轮应用源码为 02a9dbc90583fbcad47567e64ae77ae810eca33f；依赖固定为Django 5.2.17、psycopg 3.2.10和Gunicorn 26.2.0。准确应用提交的CI通过；报告文档在独立后续提交同步，运行镜像保留已验收应用身份。</w:t>
      </w:r>
    </w:p>
    <w:p>
      <w:pPr>
        <w:pStyle w:val="Heading2"/>
      </w:pPr>
      <w:r>
        <w:rPr>
          <w:rFonts w:ascii="Liberation Serif" w:hAnsi="Liberation Serif" w:eastAsia="Noto Sans CJK SC"/>
          <w:b/>
          <w:color w:val="000000"/>
          <w:sz w:val="28"/>
        </w:rPr>
        <w:t>5.2 核心功能实现说明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身份和诊所选择、预约到诊、实际治疗、版本化结算与季度核对继续使用原业务服务。资金凭据、分次收款、退款、设备支出和冲回与独立财务审核衔接；预约意图不自动收费，账单金额不等于实收。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主管通知概况分别显示已到处理时间、未来重试、终态失败和无收件人事件，不把等待退避的任务算作当前积压。监测状态只供维护责任人读取，不向业务工作台输出跨店队列或内部诊断。</w:t>
      </w:r>
    </w:p>
    <w:p>
      <w:pPr>
        <w:pStyle w:val="Heading2"/>
      </w:pPr>
      <w:r>
        <w:rPr>
          <w:rFonts w:ascii="Liberation Serif" w:hAnsi="Liberation Serif" w:eastAsia="Noto Sans CJK SC"/>
          <w:b/>
          <w:color w:val="000000"/>
          <w:sz w:val="28"/>
        </w:rPr>
        <w:t>5.3 历史运行界面与当前观察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保留历史v0.7截图作为交互背景，图示不作为R2.2的运行证明。当前验证以真实浏览器、数据库事实及私有故障记录为准；各代结果的时间和范围分别标注。</w:t>
      </w:r>
    </w:p>
    <w:p>
      <w:pPr>
        <w:keepNext w:val="0"/>
        <w:keepLines w:val="0"/>
        <w:pageBreakBefore w:val="0"/>
        <w:widowControl/>
        <w:spacing w:after="0" w:line="440" w:lineRule="exact" w:before="0"/>
        <w:textAlignment w:val="baseline"/>
        <w:kinsoku w:val="1"/>
        <w:snapToGrid w:val="0"/>
      </w:pPr>
      <w:r>
        <w:rPr>
          <w:rFonts w:ascii="Liberation Serif" w:hAnsi="Liberation Serif" w:eastAsia="Noto Serif CJK SC"/>
          <w:color w:val="000000"/>
          <w:sz w:val="24"/>
        </w:rPr>
        <w:t>以下为用户此前本地v0.7合成数据演示截图，保留版本背景；仅支持图示路径，不作为原RC真实运行证据。裁切仅去掉无关边缘，不改变业务状态文字。</w:t>
      </w:r>
    </w:p>
    <w:p>
      <w:pPr>
        <w:keepNext/>
        <w:spacing w:line="240" w:lineRule="auto" w:after="0" w:before="0"/>
        <w:ind w:firstLine="0"/>
        <w:jc w:val="center"/>
        <w:textAlignment w:val="baseline"/>
        <w:pageBreakBefore w:val="0"/>
        <w:kinsoku w:val="1"/>
        <w:snapToGrid w:val="0"/>
      </w:pPr>
      <w:r>
        <w:rPr>
          <w:rFonts w:ascii="Noto Serif CJK SC" w:hAnsi="Noto Serif CJK SC" w:eastAsia="Noto Serif CJK SC" w:cs="Noto Serif CJK SC"/>
          <w:color w:val="000000"/>
          <w:sz w:val="24"/>
        </w:rPr>
        <w:drawing>
          <wp:inline xmlns:a="http://schemas.openxmlformats.org/drawingml/2006/main" xmlns:pic="http://schemas.openxmlformats.org/drawingml/2006/picture">
            <wp:extent cx="4718250" cy="3240000"/>
            <wp:docPr id="15" name="Picture 15" descr="候补接受后显示已转预约，来自本地v0.7人工演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(7)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1825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0" w:after="100"/>
        <w:ind w:firstLine="0"/>
        <w:jc w:val="center"/>
        <w:textAlignment w:val="baseline"/>
        <w:keepNext/>
        <w:pageBreakBefore w:val="0"/>
        <w:kinsoku w:val="1"/>
        <w:snapToGrid w:val="0"/>
      </w:pPr>
      <w:r>
        <w:rPr>
          <w:rFonts w:ascii="Liberation Serif" w:hAnsi="Liberation Serif" w:eastAsia="Noto Serif CJK SC"/>
          <w:color w:val="000000"/>
          <w:sz w:val="21"/>
        </w:rPr>
        <w:t>图5-1  候补接受后显示已转预约</w:t>
      </w:r>
    </w:p>
    <w:p>
      <w:pPr>
        <w:keepNext/>
        <w:spacing w:line="240" w:lineRule="auto" w:after="0" w:before="0"/>
        <w:ind w:firstLine="0"/>
        <w:jc w:val="center"/>
        <w:textAlignment w:val="baseline"/>
        <w:pageBreakBefore w:val="0"/>
        <w:kinsoku w:val="1"/>
        <w:snapToGrid w:val="0"/>
      </w:pPr>
      <w:r>
        <w:rPr>
          <w:rFonts w:ascii="Noto Serif CJK SC" w:hAnsi="Noto Serif CJK SC" w:eastAsia="Noto Serif CJK SC" w:cs="Noto Serif CJK SC"/>
          <w:color w:val="000000"/>
          <w:sz w:val="24"/>
        </w:rPr>
        <w:drawing>
          <wp:inline xmlns:a="http://schemas.openxmlformats.org/drawingml/2006/main" xmlns:pic="http://schemas.openxmlformats.org/drawingml/2006/picture">
            <wp:extent cx="5040000" cy="2710345"/>
            <wp:docPr id="16" name="Picture 16" descr="切换诊所后旧表单收到拒绝反馈，来自本地v0.7人工演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(9)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10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before="0" w:after="100"/>
        <w:ind w:firstLine="0"/>
        <w:jc w:val="center"/>
        <w:textAlignment w:val="baseline"/>
        <w:keepNext/>
        <w:pageBreakBefore w:val="0"/>
        <w:kinsoku w:val="1"/>
        <w:snapToGrid w:val="0"/>
      </w:pPr>
      <w:r>
        <w:rPr>
          <w:rFonts w:ascii="Liberation Serif" w:hAnsi="Liberation Serif" w:eastAsia="Noto Serif CJK SC"/>
          <w:color w:val="000000"/>
          <w:sz w:val="21"/>
        </w:rPr>
        <w:t>图5-2  切换诊所后旧表单收到拒绝反馈</w:t>
      </w:r>
    </w:p>
    <w:p>
      <w:pPr>
        <w:keepNext w:val="0"/>
        <w:keepLines w:val="0"/>
        <w:pageBreakBefore w:val="0"/>
        <w:widowControl/>
        <w:spacing w:after="0" w:line="440" w:lineRule="exact" w:before="0"/>
        <w:textAlignment w:val="baseline"/>
        <w:kinsoku w:val="1"/>
        <w:snapToGrid w:val="0"/>
      </w:pPr>
      <w:r>
        <w:rPr>
          <w:rFonts w:ascii="Liberation Serif" w:hAnsi="Liberation Serif" w:eastAsia="Noto Serif CJK SC"/>
          <w:color w:val="000000"/>
          <w:sz w:val="24"/>
        </w:rPr>
        <w:t>图5-1中用户另行确认对应正式预约存在；图5-2只说明拒绝反馈出现，底层“完全没有写入”仍需数据核对。</w:t>
      </w:r>
    </w:p>
    <w:p>
      <w:pPr>
        <w:keepNext/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32000" cy="3839797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-overview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3839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图5-3 R2.2 本店通知概况（390像素大字模式）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1"/>
        </w:rPr>
        <w:t>来自独立合成演练：两条待派发中仅一条已经到期；未来重试单独显示。该页面为当前诊所概况，后台健康由私有独立读取核对。</w:t>
      </w:r>
    </w:p>
    <w:p>
      <w:pPr>
        <w:pStyle w:val="Heading2"/>
      </w:pPr>
      <w:r>
        <w:rPr>
          <w:rFonts w:ascii="Liberation Serif" w:hAnsi="Liberation Serif" w:eastAsia="Noto Sans CJK SC"/>
          <w:b/>
          <w:color w:val="000000"/>
          <w:sz w:val="28"/>
        </w:rPr>
        <w:t>5.4 测试设计与执行结果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R2.2纯规则及源码检查978项、真实PostgreSQL/HTTP/并发回归1,145项通过，未新增数据库迁移。以下结果来自R2.2独立五诊所合成演练，源码与验收绑定；全套数量不能自动等同于每个历史用例的逐项覆盖率。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初次CI发现旧预约搜索验收依赖运行时刻；将候选数量测试固定到次日上午，并新增午夜开始时间边界用例。运行、浏览器和恢复演练源码为ed7e10e，最终应用为02a9dbc；两者仅相差该测试及完整性清单，运行模块和配置字节一致。最终提交重新通过本地完整回归与准确CI，Mac按最终版本验证。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真实容器在消息事务提交前被终止，未提交消息和尝试次数回滚；在提交后明确到达屏障，再从外部强制终止并核验退出137，重启没有重复消息或重做任务。平稳停止在24.588秒内被观察，提交前强制终止在110.042秒内被识别。确认责任不清除故障，恢复需要两次新的有效成功样本。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独立数据库核对的合成总收款为50,100.10元，总退款为100.10元。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患者净资金为50,000.00元；设备支出与冲回各50.05元。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24条匹配有效、1条因凭据更正保留为需重核，30条外部流水已接受。对账没有改写账单或生成平衡款项。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日志核对覆盖64类凭据、患者及CSV/引用标记，均未出现；992个请求在应用、Gunicorn和网关间关联。固定启动和停止提示单独分类，原生请求错误和数据库输出保持关闭。完整证据与需求追踪保存在docs/evidence_r22；准确应用CI：https://github.com/Zhang646967/adc-dental-clinic/actions/runs/39134681755。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表5-1 分层测试与执行结果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257"/>
      </w:tblGrid>
      <w:tr>
        <w:trPr>
          <w:cantSplit/>
          <w:tblHeader/>
        </w:trPr>
        <w:tc>
          <w:tcPr>
            <w:tcW w:type="dxa" w:w="181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验证层次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R2.2执行结果与证据边界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源码与规则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978项通过；含私有文件、状态机、严格类型及有界历史。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真实数据库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1,145项通过；只读采样、事务、权限和并发回归。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运行故障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32项通过；真实终止、DB/监测停机、异常文件、幂等确认与模拟空间。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真实浏览器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869项通过：资金流程568、七角色与跨店248、通知/键盘/窄屏53。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独立资金核对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20项通过；四类资金、账单、凭据版本、匹配和CSV摘要独立计算。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安全运行输出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64类私有标记均未出现；992个请求跨三个处理层关联。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加密空库恢复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50个模型及关联全部匹配；2.454秒包含目标准备、恢复和比较；源库不变。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容量与公网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本轮不重跑30分钟/24小时。R1五店二十账号、9,000请求及p95 0.337秒属于2026-10-15历史；公网仍等待服务器。</w:t>
            </w:r>
          </w:p>
        </w:tc>
      </w:tr>
    </w:tbl>
    <w:p>
      <w:pPr>
        <w:spacing w:after="0" w:line="20" w:lineRule="exact" w:before="0"/>
        <w:ind w:firstLine="0"/>
      </w:pPr>
      <w:r>
        <w:rPr>
          <w:rFonts w:ascii="Liberation Serif" w:hAnsi="Liberation Serif" w:eastAsia="Noto Serif CJK SC"/>
          <w:b w:val="0"/>
          <w:color w:val="000000"/>
          <w:sz w:val="2"/>
        </w:rPr>
      </w:r>
    </w:p>
    <w:p>
      <w:pPr>
        <w:pStyle w:val="Heading2"/>
      </w:pPr>
      <w:r>
        <w:rPr>
          <w:rFonts w:ascii="Liberation Serif" w:hAnsi="Liberation Serif" w:eastAsia="Noto Sans CJK SC"/>
          <w:b/>
          <w:color w:val="000000"/>
          <w:sz w:val="28"/>
        </w:rPr>
        <w:t>5.5 Mac受保护更新与恢复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R2.2更新前已验证数据库和原配置的加密备份，准确应用提交CI通过后更新Mac镜像并启动worker与collector。R2.2原Mac浏览器仅登录、选身份和授权读取，完成437项断言；未导入测试业务或向原库执行恢复。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更新后48个原有持久模型及关联摘要、70份原私有配置、原数据库卷及RC标签均保持一致。瞬时登录会话、工作上下文和last_login按只读验收需要排除，不能将此比较表述成整个数据库每个字节不变。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R2.2数据库备份与运行观测另存；R2.3新格式增加私有观测历史，恢复时不把旧心跳、时钟或身份写入新环境实时卷。原配置、六项服务条件及0700目录、0600文件另行核对。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R2.4.1更新前加密保护，更新后核对48项业务摘要、70份配置、原卷及RC标签。实际遇时钟不一致导致监测退出，先加密保留旧观测，再显式恢复并用主机事件簿记录处置。业务服务未重建；主机采集显式启动，睡眠或失联留痕，完整24小时另验。</w:t>
      </w:r>
    </w:p>
    <w:p>
      <w:pPr>
        <w:pStyle w:val="Heading2"/>
      </w:pPr>
      <w:r>
        <w:rPr>
          <w:rFonts w:ascii="Liberation Serif" w:hAnsi="Liberation Serif" w:eastAsia="Noto Sans CJK SC"/>
          <w:b/>
          <w:color w:val="000000"/>
          <w:sz w:val="28"/>
        </w:rPr>
        <w:t>5.6 需求追踪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R2.4.1在主机侧读取明确实例的有限Docker元数据，区分worker停止、容器重启/重建、真实OOM、采集失败及观察缺口。运维记录私有保存；工具不执行重启、不读患者和资金明细，也不重放业务。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首批6211421的1,000项规则、1,146项PostgreSQL及10项age检查为历史结果；数据库标记不作恢复证明。原预约时刻修正与Mac时钟异常后的观测归档、显式恢复保留记录，不证明连续运行。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第二批20961ba通过1,016项规则、1,152项PostgreSQL/HTTP/并发及24项真实age/PG恢复检查。空库比对51表、29,144行，恢复、比对及启动15.868秒；含五店资金凭据、CSV及匹配历史。本地传输模拟不证明云端SSH。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本轮837a834通过1,042项规则及1,152项PostgreSQL/HTTP/并发回归。21项隔离主机检查含48MiB限额下真实OOM及恢复；人工认领和行动不清故障，关闭需新鲜恢复采样。备份结果与R2.3恢复点分开；完整追踪及CI见docs/evidence_r241。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表5-2 需求至验收追踪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257"/>
      </w:tblGrid>
      <w:tr>
        <w:trPr>
          <w:cantSplit/>
          <w:tblHeader/>
        </w:trPr>
        <w:tc>
          <w:tcPr>
            <w:tcW w:type="dxa" w:w="181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需求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实现与直接验证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R2-04/05 通知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心跳、到期积压和未来重试分别观察；不自动重试业务。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R2-06 应用状态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保留原六条件与独立状态读取；与主机元数据分别判断。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R2.4.1 主机事件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有限元数据、真实OOM、重启、采集失败；认领、处置、新采样及保留关闭。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R2-A07/08 恢复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保留R2.3同快照、独立空库、全事实及原字节比对结果。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R2-A10/12 交付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准确CI、加密备份、48项业务及70份配置核对；业务容器不重建。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后续门槛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R2.4.2业务依赖演练、等价负载、24小时及安全；R2.5公网另验。</w:t>
            </w:r>
          </w:p>
        </w:tc>
      </w:tr>
    </w:tbl>
    <w:p>
      <w:pPr>
        <w:spacing w:after="0" w:line="20" w:lineRule="exact" w:before="0"/>
        <w:ind w:firstLine="0"/>
      </w:pPr>
      <w:r>
        <w:rPr>
          <w:rFonts w:ascii="Liberation Serif" w:hAnsi="Liberation Serif" w:eastAsia="Noto Serif CJK SC"/>
          <w:b w:val="0"/>
          <w:color w:val="000000"/>
          <w:sz w:val="2"/>
        </w:rPr>
      </w:r>
    </w:p>
    <w:p>
      <w:pPr>
        <w:spacing w:after="120"/>
        <w:ind w:firstLine="0"/>
      </w:pPr>
      <w:r>
        <w:rPr>
          <w:rFonts w:ascii="Liberation Serif" w:hAnsi="Liberation Serif" w:eastAsia="Noto Serif CJK SC"/>
          <w:b w:val="0"/>
          <w:color w:val="000000"/>
          <w:sz w:val="21"/>
        </w:rPr>
        <w:t>思维导图  测试目标 → 隔离正常/异常场景 → PostgreSQL/进程/浏览器 → 独立业务核算 → 加密恢复 → 准确版本CI → 原Mac受保护更新。</w:t>
      </w:r>
    </w:p>
    <w:p>
      <w:pPr>
        <w:pStyle w:val="Heading1"/>
        <w:pageBreakBefore/>
      </w:pPr>
      <w:r>
        <w:rPr>
          <w:rFonts w:ascii="Liberation Serif" w:hAnsi="Liberation Serif" w:eastAsia="Noto Sans CJK SC"/>
          <w:b/>
          <w:color w:val="000000"/>
          <w:sz w:val="32"/>
        </w:rPr>
        <w:t>第6章 总结与展望</w:t>
      </w:r>
    </w:p>
    <w:p>
      <w:pPr>
        <w:pStyle w:val="Heading2"/>
      </w:pPr>
      <w:r>
        <w:rPr>
          <w:rFonts w:ascii="Liberation Serif" w:hAnsi="Liberation Serif" w:eastAsia="Noto Sans CJK SC"/>
          <w:b/>
          <w:color w:val="000000"/>
          <w:sz w:val="28"/>
        </w:rPr>
        <w:t>6.1 阶段工作总结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系统已衔接预约接诊、资金凭据与逐笔对账、设备维护及通知协调。R2.1提供安全请求定位，R2.2识别通知和监测故障，R2.3验证快照一致的独立恢复。本轮R2.4.1把主机异常转为可认领、可记录处置并以新采样验证关闭的事件，保留恢复前后的历史。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需求分析把业务问题转为可观察的不变量；模块合同把财务、诊疗、排班与运行状态的责任分开；数据库与浏览器证据检查实际结果，独立恢复检查保留下来的事实。测试数量不代表覆盖率、临床有效性或大型商业部署能力。</w:t>
      </w:r>
    </w:p>
    <w:p>
      <w:pPr>
        <w:pStyle w:val="Heading2"/>
      </w:pPr>
      <w:r>
        <w:rPr>
          <w:rFonts w:ascii="Liberation Serif" w:hAnsi="Liberation Serif" w:eastAsia="Noto Sans CJK SC"/>
          <w:b/>
          <w:color w:val="000000"/>
          <w:sz w:val="28"/>
        </w:rPr>
        <w:t>6.2 不足与后续工作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4"/>
        </w:rPr>
        <w:t>下一步R2.4.2完成真实业务依赖故障演练及处置手册验证，再进行等价负载、24小时观察与安全差距复核。R2.5公网仍待服务器。之后依次推进R3跨次治疗与随访、R4维护与多资源排班、R5二十诊所代表性容量；本机主机事件通过不代表这些门槛已完成。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表6-1 后续工作与验收门槛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257"/>
      </w:tblGrid>
      <w:tr>
        <w:trPr>
          <w:cantSplit/>
          <w:tblHeader/>
        </w:trPr>
        <w:tc>
          <w:tcPr>
            <w:tcW w:type="dxa" w:w="181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要求与结果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R2.3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本地生成、下载、独立恢复及全业务比对通过；准确工具CI与Mac保护交付分别留证，原始时点及UTC保留规则不变。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R2.4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R2.4.1主机事件与处置已通过本地验收；业务依赖演练、等价负载、24小时及安全复核待完成。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R2.5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独立HTTPS主机、国内无代理访问、Mac离线、服务器/worker重启、证书续期与云端恢复。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R3—R5</w:t>
            </w:r>
          </w:p>
        </w:tc>
        <w:tc>
          <w:tcPr>
            <w:tcW w:type="dxa" w:w="7257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跨次治疗计划与随访；维护和多资源排班；二十诊所代表性容量与独立运行界限。</w:t>
            </w:r>
          </w:p>
        </w:tc>
      </w:tr>
    </w:tbl>
    <w:p>
      <w:pPr>
        <w:spacing w:after="0" w:line="20" w:lineRule="exact" w:before="0"/>
        <w:ind w:firstLine="0"/>
      </w:pPr>
      <w:r>
        <w:rPr>
          <w:rFonts w:ascii="Liberation Serif" w:hAnsi="Liberation Serif" w:eastAsia="Noto Serif CJK SC"/>
          <w:b w:val="0"/>
          <w:color w:val="000000"/>
          <w:sz w:val="2"/>
        </w:rPr>
      </w:r>
    </w:p>
    <w:p>
      <w:pPr>
        <w:spacing w:after="120"/>
        <w:ind w:firstLine="0"/>
      </w:pPr>
      <w:r>
        <w:rPr>
          <w:rFonts w:ascii="Liberation Serif" w:hAnsi="Liberation Serif" w:eastAsia="Noto Serif CJK SC"/>
          <w:b w:val="0"/>
          <w:color w:val="000000"/>
          <w:sz w:val="21"/>
        </w:rPr>
        <w:t>思维导图  当前闭环 → 明确尚缺 → 恢复新鲜度 → 完整本地运行 → 独立公网 → 连续治疗 → 资源协调 → 有证据的规模扩展。</w:t>
      </w:r>
    </w:p>
    <w:p>
      <w:pPr>
        <w:pStyle w:val="Heading1"/>
        <w:pageBreakBefore/>
      </w:pPr>
      <w:r>
        <w:rPr>
          <w:rFonts w:ascii="Liberation Serif" w:hAnsi="Liberation Serif" w:eastAsia="Noto Sans CJK SC"/>
          <w:b/>
          <w:color w:val="000000"/>
          <w:sz w:val="32"/>
        </w:rPr>
        <w:t>参考文献</w:t>
      </w:r>
    </w:p>
    <w:p>
      <w:pPr>
        <w:spacing w:after="100"/>
        <w:ind w:firstLine="0"/>
      </w:pPr>
      <w:r>
        <w:rPr>
          <w:rFonts w:ascii="Liberation Serif" w:hAnsi="Liberation Serif" w:eastAsia="Noto Serif CJK SC"/>
          <w:b w:val="0"/>
          <w:color w:val="000000"/>
          <w:sz w:val="21"/>
        </w:rPr>
        <w:t>[1] CHEN Z. ANDREW'S DENTAL CHAIN：数据建模：W44694[Z]. 指导：Derrick Neufeld. Ivey Publishing, 2024-10-08. 课程提供案例，第1—2页。</w:t>
      </w:r>
    </w:p>
    <w:p>
      <w:pPr>
        <w:spacing w:after="100"/>
        <w:ind w:firstLine="0"/>
      </w:pPr>
      <w:r>
        <w:rPr>
          <w:rFonts w:ascii="Liberation Serif" w:hAnsi="Liberation Serif" w:eastAsia="Noto Serif CJK SC"/>
          <w:b w:val="0"/>
          <w:color w:val="000000"/>
          <w:sz w:val="21"/>
        </w:rPr>
        <w:t>[2] LEVESON N. Software Engineering Concepts：过程模型[Z]. 课程提供讲义note__2，年份未注明. 第4—5页。</w:t>
      </w:r>
    </w:p>
    <w:p>
      <w:pPr>
        <w:spacing w:after="100"/>
        <w:ind w:firstLine="0"/>
      </w:pPr>
      <w:r>
        <w:rPr>
          <w:rFonts w:ascii="Liberation Serif" w:hAnsi="Liberation Serif" w:eastAsia="Noto Serif CJK SC"/>
          <w:b w:val="0"/>
          <w:color w:val="000000"/>
          <w:sz w:val="21"/>
        </w:rPr>
        <w:t>[3] LEVESON N. Software Engineering Concepts：Requirements Specification[Z]. 课程提供讲义note__3，部分页版权标记1999. 第1—5、11页。</w:t>
      </w:r>
    </w:p>
    <w:p>
      <w:pPr>
        <w:spacing w:after="100"/>
        <w:ind w:firstLine="0"/>
      </w:pPr>
      <w:r>
        <w:rPr>
          <w:rFonts w:ascii="Liberation Serif" w:hAnsi="Liberation Serif" w:eastAsia="Noto Serif CJK SC"/>
          <w:b w:val="0"/>
          <w:color w:val="000000"/>
          <w:sz w:val="21"/>
        </w:rPr>
        <w:t>[4] LEVESON N. Software Engineering Concepts：Software Design[Z]. 课程提供讲义note__4，部分页版权标记1999. 第7、10—11、15—16页。</w:t>
      </w:r>
    </w:p>
    <w:p>
      <w:pPr>
        <w:spacing w:after="100"/>
        <w:ind w:firstLine="0"/>
      </w:pPr>
      <w:r>
        <w:rPr>
          <w:rFonts w:ascii="Liberation Serif" w:hAnsi="Liberation Serif" w:eastAsia="Noto Serif CJK SC"/>
          <w:b w:val="0"/>
          <w:color w:val="000000"/>
          <w:sz w:val="21"/>
        </w:rPr>
        <w:t>[5] LEVESON N. Software Design Principles[Z]. 课程提供讲义note__5，部分页版权标记1999. 第4—10页。</w:t>
      </w:r>
    </w:p>
    <w:p>
      <w:pPr>
        <w:spacing w:after="100"/>
        <w:ind w:firstLine="0"/>
      </w:pPr>
      <w:r>
        <w:rPr>
          <w:rFonts w:ascii="Liberation Serif" w:hAnsi="Liberation Serif" w:eastAsia="Noto Serif CJK SC"/>
          <w:b w:val="0"/>
          <w:color w:val="000000"/>
          <w:sz w:val="21"/>
        </w:rPr>
        <w:t>[6] LEVESON N. Reuse and COTS[Z]. 课程提供讲义notes__6，部分页版权标记1999. 第4、8—9页。</w:t>
      </w:r>
    </w:p>
    <w:p>
      <w:pPr>
        <w:spacing w:after="100"/>
        <w:ind w:firstLine="0"/>
      </w:pPr>
      <w:r>
        <w:rPr>
          <w:rFonts w:ascii="Liberation Serif" w:hAnsi="Liberation Serif" w:eastAsia="Noto Serif CJK SC"/>
          <w:b w:val="0"/>
          <w:color w:val="000000"/>
          <w:sz w:val="21"/>
        </w:rPr>
        <w:t>[7] LEVESON N. Software Engineering Concepts[Z]. 16.355, Fall 2005. 课程提供讲义note__1，第8、18—21页。</w:t>
      </w:r>
    </w:p>
    <w:p>
      <w:pPr>
        <w:spacing w:after="100"/>
        <w:ind w:firstLine="0"/>
      </w:pPr>
      <w:r>
        <w:rPr>
          <w:rFonts w:ascii="Liberation Serif" w:hAnsi="Liberation Serif" w:eastAsia="Noto Serif CJK SC"/>
          <w:b w:val="0"/>
          <w:color w:val="000000"/>
          <w:sz w:val="21"/>
        </w:rPr>
        <w:t>[8] OBJECT MANAGEMENT GROUP. Unified Modeling Language, Version 2.5.1[S/OL]. 2017[2026-09-27]. https://www.omg.org/spec/UML/2.5.1/</w:t>
      </w:r>
    </w:p>
    <w:p>
      <w:pPr>
        <w:spacing w:after="100"/>
        <w:ind w:firstLine="0"/>
      </w:pPr>
      <w:r>
        <w:rPr>
          <w:rFonts w:ascii="Liberation Serif" w:hAnsi="Liberation Serif" w:eastAsia="Noto Serif CJK SC"/>
          <w:b w:val="0"/>
          <w:color w:val="000000"/>
          <w:sz w:val="21"/>
        </w:rPr>
        <w:t>[9] DJANGO SOFTWARE FOUNDATION. Deployment checklist：Django 5.2 documentation[EB/OL].[2026-09-27]. https://docs.djangoproject.com/en/5.2/howto/deployment/checklist/</w:t>
      </w:r>
    </w:p>
    <w:p>
      <w:pPr>
        <w:spacing w:after="100"/>
        <w:ind w:firstLine="0"/>
      </w:pPr>
      <w:r>
        <w:rPr>
          <w:rFonts w:ascii="Liberation Serif" w:hAnsi="Liberation Serif" w:eastAsia="Noto Serif CJK SC"/>
          <w:b w:val="0"/>
          <w:color w:val="000000"/>
          <w:sz w:val="21"/>
        </w:rPr>
        <w:t>[10] DJANGO SOFTWARE FOUNDATION. Middleware：Writing your own middleware[EB/OL].[2026-09-27]. https://docs.djangoproject.com/en/5.2/topics/http/middleware/</w:t>
      </w:r>
    </w:p>
    <w:p>
      <w:pPr>
        <w:spacing w:after="100"/>
        <w:ind w:firstLine="0"/>
      </w:pPr>
      <w:r>
        <w:rPr>
          <w:rFonts w:ascii="Liberation Serif" w:hAnsi="Liberation Serif" w:eastAsia="Noto Serif CJK SC"/>
          <w:b w:val="0"/>
          <w:color w:val="000000"/>
          <w:sz w:val="21"/>
        </w:rPr>
        <w:t>[11] OWASP FOUNDATION. Authorization Cheat Sheet；Session Management Cheat Sheet[EB/OL].[2026-09-27]. https://cheatsheetseries.owasp.org/</w:t>
      </w:r>
    </w:p>
    <w:p>
      <w:pPr>
        <w:spacing w:after="100"/>
        <w:ind w:firstLine="0"/>
      </w:pPr>
      <w:r>
        <w:rPr>
          <w:rFonts w:ascii="Liberation Serif" w:hAnsi="Liberation Serif" w:eastAsia="Noto Serif CJK SC"/>
          <w:b w:val="0"/>
          <w:color w:val="000000"/>
          <w:sz w:val="21"/>
        </w:rPr>
        <w:t>[12] DJANGO SOFTWARE FOUNDATION. Using the Django authentication system[EB/OL].[2026-09-27]. https://docs.djangoproject.com/en/5.2/topics/auth/default/</w:t>
      </w:r>
    </w:p>
    <w:p>
      <w:pPr>
        <w:spacing w:after="100"/>
        <w:ind w:firstLine="0"/>
      </w:pPr>
      <w:r>
        <w:rPr>
          <w:rFonts w:ascii="Liberation Serif" w:hAnsi="Liberation Serif" w:eastAsia="Noto Serif CJK SC"/>
          <w:b w:val="0"/>
          <w:color w:val="000000"/>
          <w:sz w:val="21"/>
        </w:rPr>
        <w:t>[13] GUNICORN AUTHORS. Gunicorn Settings[EB/OL].[2026-09-27]. https://gunicorn.org/reference/settings/</w:t>
      </w:r>
    </w:p>
    <w:p>
      <w:pPr>
        <w:spacing w:after="100"/>
        <w:ind w:firstLine="0"/>
      </w:pPr>
      <w:r>
        <w:rPr>
          <w:rFonts w:ascii="Liberation Serif" w:hAnsi="Liberation Serif" w:eastAsia="Noto Serif CJK SC"/>
          <w:b w:val="0"/>
          <w:color w:val="000000"/>
          <w:sz w:val="21"/>
        </w:rPr>
        <w:t>[14] F5 NGINX. Module ngx_http_proxy_module[EB/OL].[2026-09-27]. https://nginx.org/en/docs/http/ngx_http_proxy_module.html</w:t>
      </w:r>
    </w:p>
    <w:p>
      <w:pPr>
        <w:spacing w:after="100"/>
        <w:ind w:firstLine="0"/>
      </w:pPr>
      <w:r>
        <w:rPr>
          <w:rFonts w:ascii="Liberation Serif" w:hAnsi="Liberation Serif" w:eastAsia="Noto Serif CJK SC"/>
          <w:b w:val="0"/>
          <w:color w:val="000000"/>
          <w:sz w:val="21"/>
        </w:rPr>
        <w:t>[15] W3C WAI. Understanding SC 3.3.1：Error Identification；Use Clear Step-by-step Instructions[EB/OL].[2026-09-27]. https://www.w3.org/WAI/WCAG22/Understanding/error-identification.html</w:t>
      </w:r>
    </w:p>
    <w:p>
      <w:pPr>
        <w:spacing w:after="100"/>
        <w:ind w:firstLine="0"/>
      </w:pPr>
      <w:r>
        <w:rPr>
          <w:rFonts w:ascii="Liberation Serif" w:hAnsi="Liberation Serif" w:eastAsia="Noto Serif CJK SC"/>
          <w:b w:val="0"/>
          <w:color w:val="000000"/>
          <w:sz w:val="21"/>
        </w:rPr>
        <w:t>[16] GOOGLE. The Site Reliability Workbook Monitoring[EB/OL]. https://sre.google/workbook/monitoring/（访问日期2026-10-18）.</w:t>
      </w:r>
    </w:p>
    <w:p>
      <w:pPr>
        <w:spacing w:after="100"/>
        <w:ind w:firstLine="0"/>
      </w:pPr>
      <w:r>
        <w:rPr>
          <w:rFonts w:ascii="Liberation Serif" w:hAnsi="Liberation Serif" w:eastAsia="Noto Serif CJK SC"/>
          <w:b w:val="0"/>
          <w:color w:val="000000"/>
          <w:sz w:val="21"/>
        </w:rPr>
        <w:t>[17] OWASP FOUNDATION. Application Security Verification Standard 5.0.0[EB/OL]. https://owasp.org/projects/asvs（访问日期2026-10-18）.</w:t>
      </w:r>
    </w:p>
    <w:p>
      <w:pPr>
        <w:spacing w:after="100"/>
        <w:ind w:firstLine="0"/>
      </w:pPr>
      <w:r>
        <w:rPr>
          <w:rFonts w:ascii="Liberation Serif" w:hAnsi="Liberation Serif" w:eastAsia="Noto Serif CJK SC"/>
          <w:b w:val="0"/>
          <w:color w:val="000000"/>
          <w:sz w:val="21"/>
        </w:rPr>
        <w:t>[18] POSTGRESQL GLOBAL DEVELOPMENT GROUP. PostgreSQL 17 SET TRANSACTION[EB/OL]. https://www.postgresql.org/docs/17/sql-set-transaction.html（访问日期2026-10-18）.</w:t>
      </w:r>
    </w:p>
    <w:p>
      <w:pPr>
        <w:spacing w:after="100"/>
        <w:ind w:firstLine="0"/>
      </w:pPr>
      <w:r>
        <w:rPr>
          <w:rFonts w:ascii="Liberation Serif" w:hAnsi="Liberation Serif" w:eastAsia="Noto Serif CJK SC"/>
          <w:b w:val="0"/>
          <w:color w:val="000000"/>
          <w:sz w:val="21"/>
        </w:rPr>
        <w:t>[19] DJANGO SOFTWARE FOUNDATION. Database Functions Greatest Django 5.2[EB/OL]. https://docs.djangoproject.com/en/5.2/ref/models/database-functions/（访问日期2026-10-18）.</w:t>
      </w:r>
    </w:p>
    <w:p>
      <w:pPr>
        <w:spacing w:after="100"/>
        <w:ind w:firstLine="0"/>
      </w:pPr>
      <w:r>
        <w:rPr>
          <w:rFonts w:ascii="Liberation Serif" w:hAnsi="Liberation Serif" w:eastAsia="Noto Serif CJK SC"/>
          <w:b w:val="0"/>
          <w:color w:val="000000"/>
          <w:sz w:val="21"/>
        </w:rPr>
        <w:t>[20] ADC PROJECT. R1 financial evidence and R2.1 executed acceptance[EB/OL]. https://github.com/Zhang646967/adc-dental-clinic/tree/main/docs（历史执行日期分别为2026-10-15、2026-10-18）.</w:t>
      </w:r>
    </w:p>
    <w:p>
      <w:pPr>
        <w:spacing w:after="100"/>
        <w:ind w:firstLine="0"/>
      </w:pPr>
      <w:r>
        <w:rPr>
          <w:rFonts w:ascii="Liberation Serif" w:hAnsi="Liberation Serif" w:eastAsia="Noto Serif CJK SC"/>
          <w:b w:val="0"/>
          <w:color w:val="000000"/>
          <w:sz w:val="21"/>
        </w:rPr>
        <w:t>[21] ADC PROJECT. R2.2 implementation contract and executed evidence[EB/OL]. https://github.com/Zhang646967/adc-dental-clinic/tree/main/docs/evidence_r22（实际执行结果以发布记录为准）.</w:t>
      </w:r>
    </w:p>
    <w:p>
      <w:pPr>
        <w:spacing w:after="100"/>
        <w:ind w:firstLine="0"/>
      </w:pPr>
      <w:r>
        <w:rPr>
          <w:rFonts w:ascii="Liberation Serif" w:hAnsi="Liberation Serif" w:eastAsia="Noto Serif CJK SC"/>
          <w:b w:val="0"/>
          <w:color w:val="000000"/>
          <w:sz w:val="21"/>
        </w:rPr>
        <w:t>[22] Zhang Jialiang. ADC R2.2 application 02a9dbc and exact-commit CI[EB/OL]. https://github.com/Zhang646967/adc-dental-clinic/actions/runs/39134681755. 2026-10-18.</w:t>
      </w:r>
    </w:p>
    <w:p>
      <w:pPr>
        <w:pStyle w:val="Heading1"/>
        <w:pageBreakBefore/>
      </w:pPr>
      <w:r>
        <w:rPr>
          <w:rFonts w:ascii="Liberation Serif" w:hAnsi="Liberation Serif" w:eastAsia="Noto Sans CJK SC"/>
          <w:b/>
          <w:color w:val="000000"/>
          <w:sz w:val="32"/>
        </w:rPr>
        <w:t>附录A 基础系统用例规约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1"/>
        </w:rPr>
        <w:t>本附录保留原SU-01—25及SF-01的业务保证和编号，改按课程报告表格呈现。原验收组是追踪目标；当前运行状态统一以第5章及准确提交证据为准，未建立逐项对应时不把总测试数量等同于用例覆盖率。</w:t>
      </w:r>
    </w:p>
    <w:p>
      <w:pPr>
        <w:pStyle w:val="Heading3"/>
      </w:pPr>
      <w:r>
        <w:rPr>
          <w:rFonts w:ascii="Liberation Serif" w:hAnsi="Liberation Serif" w:eastAsia="Noto Sans CJK SC"/>
          <w:b/>
          <w:color w:val="000000"/>
          <w:sz w:val="24"/>
        </w:rPr>
        <w:t>SU-01　登录、选择与切换身份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表A-1 SU-01　登录、选择与切换身份用例规约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标题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内容（SU-01）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用例名称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SU-01　登录、选择与切换身份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执行者／触发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所有系统用户；登录或点击“切换身份”。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涉众利益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账号使用者希望少走无效步骤；机构需防止身份混用和越权。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前置条件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能够打开登录页，已通过受控方式取得账号；本用例包含凭据校验，不把登录成功当作前置条件。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基本路径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1）账号使用者提交账号和密码；系统验证凭据及账号状态。2）系统核对有效身份；无身份时反馈待授权，唯一身份时正式激活，多身份时由账号使用者选择后激活。3）系统再次核验授权并清除旧诊所范围；前台／主管随后通过SU-02选择诊所。4）账号使用者请求切换时，系统仅提供有效身份；唯一身份不增加重复选择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扩展路径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凭据错误或账号停用：留在登录入口，反馈不泄露账号是否存在。 无身份／选择期间撤权：说明原因并提供退出；不授予新身份。 旧标签页提交：拒绝并要求核对当前身份与诊所；不得借用账号的其他身份。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成功结果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只改变当前工作身份，不增加权限，不改变已有业务记录。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最低保证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失败不进入受保护工作区，不改变患者、预约或账单。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追踪与状态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BR-01；AT-01；原始规则和验收组保留，当前执行证据与范围见第5章。</w:t>
            </w:r>
          </w:p>
        </w:tc>
      </w:tr>
    </w:tbl>
    <w:p>
      <w:pPr>
        <w:spacing w:after="0" w:line="20" w:lineRule="exact" w:before="0"/>
        <w:ind w:firstLine="0"/>
      </w:pPr>
      <w:r>
        <w:rPr>
          <w:rFonts w:ascii="Liberation Serif" w:hAnsi="Liberation Serif" w:eastAsia="Noto Serif CJK SC"/>
          <w:b w:val="0"/>
          <w:color w:val="000000"/>
          <w:sz w:val="2"/>
        </w:rPr>
      </w:r>
    </w:p>
    <w:p>
      <w:pPr>
        <w:pStyle w:val="Heading3"/>
      </w:pPr>
      <w:r>
        <w:rPr>
          <w:rFonts w:ascii="Liberation Serif" w:hAnsi="Liberation Serif" w:eastAsia="Noto Sans CJK SC"/>
          <w:b/>
          <w:color w:val="000000"/>
          <w:sz w:val="24"/>
        </w:rPr>
        <w:t>SU-02　选择与切换诊所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表A-2 SU-02　选择与切换诊所用例规约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标题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内容（SU-02）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用例名称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SU-02　选择与切换诊所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执行者／触发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当前为前台或主管的用户；进入角色首页或点击“切换诊所”。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涉众利益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前台／主管需明确当前店；其他诊所不应因切换受误操作影响。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前置条件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账号已登录并激活前台或主管身份。可进入的诊所集合由系统核验；空集合属于本用例的替代结果。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基本路径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1）系统反馈当前前台／主管身份可进入的诊所。2）前台／主管提交选定诊所；系统验证该身份与诊所的授权关系。3）系统激活选定诊所范围并反馈当前范围；不改变工作身份。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扩展路径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没有有效诊所：说明原因，不展示合并数据。 目标诊所停用或无授权：拒绝，不能借用另一角色的范围。 切换后旧表单提交：拒绝并要求刷新。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成功结果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当前店明确；另一家店的业务不会混入当前查询或提交。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最低保证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选择失败不激活未授权诊所；合法切换不修改业务记录，旧页不得沿用原范围提交。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追踪与状态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BR-01；AT-02；原始规则和验收组保留，当前执行证据与范围见第5章。</w:t>
            </w:r>
          </w:p>
        </w:tc>
      </w:tr>
    </w:tbl>
    <w:p>
      <w:pPr>
        <w:spacing w:after="0" w:line="20" w:lineRule="exact" w:before="0"/>
        <w:ind w:firstLine="0"/>
      </w:pPr>
      <w:r>
        <w:rPr>
          <w:rFonts w:ascii="Liberation Serif" w:hAnsi="Liberation Serif" w:eastAsia="Noto Serif CJK SC"/>
          <w:b w:val="0"/>
          <w:color w:val="000000"/>
          <w:sz w:val="2"/>
        </w:rPr>
      </w:r>
    </w:p>
    <w:p>
      <w:pPr>
        <w:pStyle w:val="Heading3"/>
      </w:pPr>
      <w:r>
        <w:rPr>
          <w:rFonts w:ascii="Liberation Serif" w:hAnsi="Liberation Serif" w:eastAsia="Noto Sans CJK SC"/>
          <w:b/>
          <w:color w:val="000000"/>
          <w:sz w:val="24"/>
        </w:rPr>
        <w:t>SU-03　建立与查阅患者档案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表A-3 SU-03　建立与查阅患者档案用例规约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标题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内容（SU-03）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用例名称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SU-03　建立与查阅患者档案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执行者／触发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前台建档；负责牙医查阅授权记录；新患者需要建档，或工作人员需要查阅。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涉众利益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患者希望跨店资料一致且隐私受保护；工作人员需可靠识别患者。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前置条件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有效工作身份与范围；仅使用合成资料。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基本路径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1）前台提交识别条件；系统检索既有患者，支持跨店复用编号，不按相同电话自动合并。2）前台为新患者提交姓名、出生日期、账单地址、电话、可选邮箱、紧急联系人及逐项过敏资料。3）系统校验资料并分配稳定编号；负责牙医请求查阅时，系统只反馈获授权的接诊所需资料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扩展路径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疑似重复：提示核对，不按相同电话自动合并。 必填缺失、未来出生日期或过敏状态矛盾：阻止保存。 无关联/无授权的直接访问：拒绝，不泄露资料。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成功结果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成功建档产生一份可查询档案；查阅不修改数据。患者业务编号不是登录凭证；完整编辑／合并不在本次实现范围。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最低保证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建档失败不留部分档案；查阅失败不暴露对象，疑似重复不自动合并患者。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追踪与状态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BR-02；AT-03；原始规则和验收组保留，当前执行证据与范围见第5章。</w:t>
            </w:r>
          </w:p>
        </w:tc>
      </w:tr>
    </w:tbl>
    <w:p>
      <w:pPr>
        <w:spacing w:after="0" w:line="20" w:lineRule="exact" w:before="0"/>
        <w:ind w:firstLine="0"/>
      </w:pPr>
      <w:r>
        <w:rPr>
          <w:rFonts w:ascii="Liberation Serif" w:hAnsi="Liberation Serif" w:eastAsia="Noto Serif CJK SC"/>
          <w:b w:val="0"/>
          <w:color w:val="000000"/>
          <w:sz w:val="2"/>
        </w:rPr>
      </w:r>
    </w:p>
    <w:p>
      <w:pPr>
        <w:pStyle w:val="Heading3"/>
      </w:pPr>
      <w:r>
        <w:rPr>
          <w:rFonts w:ascii="Liberation Serif" w:hAnsi="Liberation Serif" w:eastAsia="Noto Sans CJK SC"/>
          <w:b/>
          <w:color w:val="000000"/>
          <w:sz w:val="24"/>
        </w:rPr>
        <w:t>SU-04　创建预约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表A-4 SU-04　创建预约用例规约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标题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内容（SU-04）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用例名称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SU-04　创建预约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执行者／触发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患者或当前诊所前台；用户提出预约并进入确认。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涉众利益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患者希望安排明确；牙医与诊所需避免重复占用和误收费。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前置条件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有效患者；牙医、诊所及出诊时段可用。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基本路径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1）患者提交30分钟候选时段；前台在当前店提交允许的起止时间、特殊需求和治疗意向。2）系统反馈诊所、牙医及北京时间；患者／前台明确确认，查询空闲本身不保留时段。3）系统执行SF-01，重验当前范围、出诊覆盖、患者和牙医预约及有效邀约保留。4）系统保存一条预约并反馈编号与状态；治疗意向不形成收费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扩展路径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页面过期、签名不符或范围改变：不创建。 并发争用同一资源：冲突一方收到重新选择提示。 保存或审计失败：撤销本次关联写入；重试成功回执不重复预约。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成功结果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一条可查询且不冲突的预约；没有隐含治疗确认或付款。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最低保证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新预约创建失败不留下有效预约或部分保留；已有预约和患者资料不被更改。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追踪与状态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BR-03；AT-04；原始规则和验收组保留，当前执行证据与范围见第5章。</w:t>
            </w:r>
          </w:p>
        </w:tc>
      </w:tr>
    </w:tbl>
    <w:p>
      <w:pPr>
        <w:spacing w:after="0" w:line="20" w:lineRule="exact" w:before="0"/>
        <w:ind w:firstLine="0"/>
      </w:pPr>
      <w:r>
        <w:rPr>
          <w:rFonts w:ascii="Liberation Serif" w:hAnsi="Liberation Serif" w:eastAsia="Noto Serif CJK SC"/>
          <w:b w:val="0"/>
          <w:color w:val="000000"/>
          <w:sz w:val="2"/>
        </w:rPr>
      </w:r>
    </w:p>
    <w:p>
      <w:pPr>
        <w:pStyle w:val="Heading3"/>
      </w:pPr>
      <w:r>
        <w:rPr>
          <w:rFonts w:ascii="Liberation Serif" w:hAnsi="Liberation Serif" w:eastAsia="Noto Sans CJK SC"/>
          <w:b/>
          <w:color w:val="000000"/>
          <w:sz w:val="24"/>
        </w:rPr>
        <w:t>SU-05　调整预约结果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表A-5 SU-05　调整预约结果用例规约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标题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内容（SU-05）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用例名称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SU-05　调整预约结果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执行者／触发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前台；患者仅本人未开始预约取消；取消、改期或核实爽约。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涉众利益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患者需明确变更结果；诊所需保留原因与改期历史。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前置条件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目标尚在允许操作的状态；范围与修订号有效。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基本路径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1）前台／患者明确目标预约及取消、改期或爽约核实的请求；患者仅能取消本人允许取消的预约。2）系统核验范围与状态；前台／患者提交允许操作的原因，改期时前台提交本店新时间，爽约时前台确认确未到诊。3）系统验证原计划结束时间等规则并保存已明确确认的结果；改期保留原记录及后继关联，患者改期仍联系前台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扩展路径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尚未到结束时间：不能认定爽约。 已到诊/已结束：普通取消或改期被拒绝。 新时段失败：原预约继续有效。患者改期仍联系前台。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成功结果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状态、到诊标志和历史一致。当前单店工作台的普通改期仅选择当前店时段。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最低保证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改期失败保留原有效预约；取消和爽约失败不改变原状态，旧记录不删除。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追踪与状态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BR-04；AT-05；原始规则和验收组保留，当前执行证据与范围见第5章。</w:t>
            </w:r>
          </w:p>
        </w:tc>
      </w:tr>
    </w:tbl>
    <w:p>
      <w:pPr>
        <w:spacing w:after="0" w:line="20" w:lineRule="exact" w:before="0"/>
        <w:ind w:firstLine="0"/>
      </w:pPr>
      <w:r>
        <w:rPr>
          <w:rFonts w:ascii="Liberation Serif" w:hAnsi="Liberation Serif" w:eastAsia="Noto Serif CJK SC"/>
          <w:b w:val="0"/>
          <w:color w:val="000000"/>
          <w:sz w:val="2"/>
        </w:rPr>
      </w:r>
    </w:p>
    <w:p>
      <w:pPr>
        <w:pStyle w:val="Heading3"/>
      </w:pPr>
      <w:r>
        <w:rPr>
          <w:rFonts w:ascii="Liberation Serif" w:hAnsi="Liberation Serif" w:eastAsia="Noto Sans CJK SC"/>
          <w:b/>
          <w:color w:val="000000"/>
          <w:sz w:val="24"/>
        </w:rPr>
        <w:t>SU-06　登记实际到诊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表A-6 SU-06　登记实际到诊用例规约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标题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内容（SU-06）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用例名称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SU-06　登记实际到诊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执行者／触发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当前诊所前台；工作人员选择“登记到诊”。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涉众利益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患者与牙医需真实到诊队列；管理者不应得到虚假的出勤指标。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前置条件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当前前台身份和诊所范围有效，目标为已预约；前台须在路径中确认真实到达。系统只核验提交的登记信息，不能独立感知患者到店。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基本路径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1）前台核对本店预约，提交已确认真实到达的到诊登记请求。2）系统核验当前店权限、原预约状态及修订号。3）系统保存到诊标志、实际到诊时间与事件，并反馈登记结果。真实到达由前台核实，不由软件自行感知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扩展路径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已经取消/爽约/改期替代：拒绝直接到诊。 旧修订号或授权撤回：拒绝并提示刷新。 重复或失败请求不产生第二次独立接诊。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成功结果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到诊=true，状态已到诊；此时尚无治疗完成或收款事实。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最低保证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校验失败不新增到诊时间；重复请求不产生第二次到诊事件或越过终态限制。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追踪与状态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BR-04；AT-06；原始规则和验收组保留，当前执行证据与范围见第5章。</w:t>
            </w:r>
          </w:p>
        </w:tc>
      </w:tr>
    </w:tbl>
    <w:p>
      <w:pPr>
        <w:spacing w:after="0" w:line="20" w:lineRule="exact" w:before="0"/>
        <w:ind w:firstLine="0"/>
      </w:pPr>
      <w:r>
        <w:rPr>
          <w:rFonts w:ascii="Liberation Serif" w:hAnsi="Liberation Serif" w:eastAsia="Noto Serif CJK SC"/>
          <w:b w:val="0"/>
          <w:color w:val="000000"/>
          <w:sz w:val="2"/>
        </w:rPr>
      </w:r>
    </w:p>
    <w:p>
      <w:pPr>
        <w:pStyle w:val="Heading3"/>
      </w:pPr>
      <w:r>
        <w:rPr>
          <w:rFonts w:ascii="Liberation Serif" w:hAnsi="Liberation Serif" w:eastAsia="Noto Sans CJK SC"/>
          <w:b/>
          <w:color w:val="000000"/>
          <w:sz w:val="24"/>
        </w:rPr>
        <w:t>SU-07　复核信息与记录实际治疗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表A-7 SU-07　复核信息与记录实际治疗用例规约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标题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内容（SU-07）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用例名称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SU-07　复核信息与记录实际治疗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执行者／触发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本次负责牙医；从接诊队列进入工作区。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涉众利益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患者需准确治疗与过敏记录；牙医需保留已存草稿和专业责任。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前置条件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牙医身份有效，目标本人负责且已到诊。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基本路径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1）牙医请求办理本人已到诊接诊；系统反馈获授权的主诉与过敏知识状态。2）牙医提交当次复核结果，以及实际治疗项目、标准单位、数量和当时单价。3）系统验证并保存治疗草稿；误录草稿由牙医说明原因后请求撤回。本任务不自动关闭接诊，结束须另行明确请求SU-08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扩展路径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未知过敏可以保存草稿，但不能当作已确认无过敏。 数量/价格不合法或页面过期：阻止保存。 已发布内容不在此处直接修改；非本人接诊拒绝。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成功结果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实际治疗草稿可供后续核对；SU-08必须由牙医另行明确启动。已发布版本不可从本页原地改写。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最低保证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本次失败不新增治疗行；之前已保存草稿不丢失，历史已发布内容不受影响。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追踪与状态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BR-02、BR-05；AT-07；原始规则和验收组保留，当前执行证据与范围见第5章。</w:t>
            </w:r>
          </w:p>
        </w:tc>
      </w:tr>
    </w:tbl>
    <w:p>
      <w:pPr>
        <w:spacing w:after="0" w:line="20" w:lineRule="exact" w:before="0"/>
        <w:ind w:firstLine="0"/>
      </w:pPr>
      <w:r>
        <w:rPr>
          <w:rFonts w:ascii="Liberation Serif" w:hAnsi="Liberation Serif" w:eastAsia="Noto Serif CJK SC"/>
          <w:b w:val="0"/>
          <w:color w:val="000000"/>
          <w:sz w:val="2"/>
        </w:rPr>
      </w:r>
    </w:p>
    <w:p>
      <w:pPr>
        <w:pStyle w:val="Heading3"/>
      </w:pPr>
      <w:r>
        <w:rPr>
          <w:rFonts w:ascii="Liberation Serif" w:hAnsi="Liberation Serif" w:eastAsia="Noto Sans CJK SC"/>
          <w:b/>
          <w:color w:val="000000"/>
          <w:sz w:val="24"/>
        </w:rPr>
        <w:t>SU-08　完成就诊并生成结算单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表A-8 SU-08　完成就诊并生成结算单用例规约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标题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内容（SU-08）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用例名称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SU-08　完成就诊并生成结算单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执行者／触发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本次负责牙医；核对后明确关闭本次接诊。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涉众利益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患者需可核对费用；机构需闭合状态与唯一结算一致。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前置条件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已登录为本次负责牙医；目标可查阅。首次完成须已到诊；已经完成的重复请求走既有结果分支。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基本路径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1）系统反馈待核对的项目、数量、单价、行小计与总额。2）牙医核对后明确请求治疗完成；确无治疗时请求无治疗关闭并提交原因。3）系统验证完成条件，一并保存已发布内容、唯一结算单、闭合状态及事件，反馈结果；已成功完成的授权重试返回既有结算单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扩展路径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有实际治疗但过敏未复核、数据不完整或数值非法：指出缺口，不完成。 有治疗却选无治疗：拒绝；确无治疗可保留未知信息，填写原因后生成零明细零金额单。 首次完成的中途失败：本次关闭与开单全部撤销；经授权核验的重复完成返回既有结算单。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成功结果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闭合就诊恰有一张逻辑结算单；到诊仍为true；不代表已收款。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最低保证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失败不出现“已闭合却无结算单”或半张账单；已成功完成的结果不得因重试再创建。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追踪与状态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BR-04、BR-05；AT-08；原始规则和验收组保留，当前执行证据与范围见第5章。</w:t>
            </w:r>
          </w:p>
        </w:tc>
      </w:tr>
    </w:tbl>
    <w:p>
      <w:pPr>
        <w:spacing w:after="0" w:line="20" w:lineRule="exact" w:before="0"/>
        <w:ind w:firstLine="0"/>
      </w:pPr>
      <w:r>
        <w:rPr>
          <w:rFonts w:ascii="Liberation Serif" w:hAnsi="Liberation Serif" w:eastAsia="Noto Serif CJK SC"/>
          <w:b w:val="0"/>
          <w:color w:val="000000"/>
          <w:sz w:val="2"/>
        </w:rPr>
      </w:r>
    </w:p>
    <w:p>
      <w:pPr>
        <w:pStyle w:val="Heading3"/>
      </w:pPr>
      <w:r>
        <w:rPr>
          <w:rFonts w:ascii="Liberation Serif" w:hAnsi="Liberation Serif" w:eastAsia="Noto Sans CJK SC"/>
          <w:b/>
          <w:color w:val="000000"/>
          <w:sz w:val="24"/>
        </w:rPr>
        <w:t>SU-09　查阅与打印结算单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表A-9 SU-09　查阅与打印结算单用例规约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标题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内容（SU-09）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用例名称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SU-09　查阅与打印结算单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执行者／触发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本人患者、授权前台/负责牙医/财务；用户打开账单或选择历史版本。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涉众利益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患者需看懂本人的费用；机构需保护历史及他人隐私。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前置条件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账单已发布；对象属于当前允许范围。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基本路径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1）患者／获授权工作人员提交目标结算单或历史版本的查阅请求。2）系统核验对象范围，反馈单号、患者、诊所、牙医、时间及对应版本的实际治疗明细和总额。3）患者／工作人员可请求打印已发布版本；系统标识历史版本“非当前”，不增加交易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扩展路径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其他患者/诊所的对象：拒绝。 草稿版本不对患者公开；未开单不解释为免费。 历史打印明确“非当前”，不新增一笔交易。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成功结果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只读展示；任何目录调价不改变历史单据内容。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最低保证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本用例只读，不因查看或打印改变账单、增加收入或使患者看到他人的资料。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追踪与状态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BR-05；AT-09；原始规则和验收组保留，当前执行证据与范围见第5章。</w:t>
            </w:r>
          </w:p>
        </w:tc>
      </w:tr>
    </w:tbl>
    <w:p>
      <w:pPr>
        <w:spacing w:after="0" w:line="20" w:lineRule="exact" w:before="0"/>
        <w:ind w:firstLine="0"/>
      </w:pPr>
      <w:r>
        <w:rPr>
          <w:rFonts w:ascii="Liberation Serif" w:hAnsi="Liberation Serif" w:eastAsia="Noto Serif CJK SC"/>
          <w:b w:val="0"/>
          <w:color w:val="000000"/>
          <w:sz w:val="2"/>
        </w:rPr>
      </w:r>
    </w:p>
    <w:p>
      <w:pPr>
        <w:pStyle w:val="Heading3"/>
      </w:pPr>
      <w:r>
        <w:rPr>
          <w:rFonts w:ascii="Liberation Serif" w:hAnsi="Liberation Serif" w:eastAsia="Noto Sans CJK SC"/>
          <w:b/>
          <w:color w:val="000000"/>
          <w:sz w:val="24"/>
        </w:rPr>
        <w:t>SU-10　申请与审核账单数字更正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表A-10 SU-10　申请与审核账单数字更正用例规约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标题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内容（SU-10）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用例名称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SU-10　申请与审核账单数字更正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执行者／触发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负责牙医申请；不同账号的财务审核；发现原治疗行数量或单价误录。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涉众利益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患者需纠正误录；机构需独立审核、不覆盖原账单历史。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前置条件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基版仍为当前版；无另一待审核申请；在允许更正范围内。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基本路径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1）牙医选定一条原治疗行，提交正确数量或单价及事实依据。2）系统核验基版与申请条件，形成完整草稿，原版继续有效。3）不同账号的财务核对差异并明确批准或拒绝。4）系统在批准时一并发布后继版本、更新同一账单当前指针并保留历史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扩展路径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同账号切换财务身份自批：仍拒绝。 基版已变化、撤权或非法数值：不发布。 拒绝/技术失败保留原版；不支持项目增删、身份或退款纠错。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成功结果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单号不变，旧版可查；收入只计当前有效版。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最低保证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批准失败或拒绝时旧版本继续有效；已发布历史不覆盖，未审核草稿不计入收入。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追踪与状态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BR-05、BR-06；AT-10；原始规则和验收组保留，当前执行证据与范围见第5章。</w:t>
            </w:r>
          </w:p>
        </w:tc>
      </w:tr>
    </w:tbl>
    <w:p>
      <w:pPr>
        <w:spacing w:after="0" w:line="20" w:lineRule="exact" w:before="0"/>
        <w:ind w:firstLine="0"/>
      </w:pPr>
      <w:r>
        <w:rPr>
          <w:rFonts w:ascii="Liberation Serif" w:hAnsi="Liberation Serif" w:eastAsia="Noto Serif CJK SC"/>
          <w:b w:val="0"/>
          <w:color w:val="000000"/>
          <w:sz w:val="2"/>
        </w:rPr>
      </w:r>
    </w:p>
    <w:p>
      <w:pPr>
        <w:pStyle w:val="Heading3"/>
      </w:pPr>
      <w:r>
        <w:rPr>
          <w:rFonts w:ascii="Liberation Serif" w:hAnsi="Liberation Serif" w:eastAsia="Noto Sans CJK SC"/>
          <w:b/>
          <w:color w:val="000000"/>
          <w:sz w:val="24"/>
        </w:rPr>
        <w:t>SU-11　形成季度成本与利润核对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表A-11 SU-11　形成季度成本与利润核对用例规约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标题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内容（SU-11）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用例名称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SU-11　形成季度成本与利润核对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执行者／触发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财务维护；总部授权查阅；选择季度进行核对。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涉众利益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总部需可信季度结果；牙医需避免漏计成本或重复计算收入。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前置条件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自然季度与纳入范围明确，当前角色允许读或写。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基本路径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1）财务提交季度和纳入牙医，包括有成本但无收入者。2）财务逐人提交并确认用品成本、运营费用及依据。3）财务确认人员范围；系统检查遗漏开单人员和未确认成本。4）资料满足条件时，系统反馈收入、利润贡献、总体基金、期间与查询时点；总部按只读授权核对结果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扩展路径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未填与确认零值分开；资料不全不发布完整利润。 零/负总体利润：基金政策待确认，不生成负奖金。 旧页面修订号、权限或跨季度对象不符：拒绝写入。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成功结果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结果带期间、查询时点与口径；不是奖金发放或不可变关账报表。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最低保证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未确认成本不被默认为零；失败不半途确认人员清单，不对缺失数据发布完整利润。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追踪与状态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BR-06；AT-11；原始规则和验收组保留，当前执行证据与范围见第5章。</w:t>
            </w:r>
          </w:p>
        </w:tc>
      </w:tr>
    </w:tbl>
    <w:p>
      <w:pPr>
        <w:spacing w:after="0" w:line="20" w:lineRule="exact" w:before="0"/>
        <w:ind w:firstLine="0"/>
      </w:pPr>
      <w:r>
        <w:rPr>
          <w:rFonts w:ascii="Liberation Serif" w:hAnsi="Liberation Serif" w:eastAsia="Noto Serif CJK SC"/>
          <w:b w:val="0"/>
          <w:color w:val="000000"/>
          <w:sz w:val="2"/>
        </w:rPr>
      </w:r>
    </w:p>
    <w:p>
      <w:pPr>
        <w:pStyle w:val="Heading3"/>
      </w:pPr>
      <w:r>
        <w:rPr>
          <w:rFonts w:ascii="Liberation Serif" w:hAnsi="Liberation Serif" w:eastAsia="Noto Sans CJK SC"/>
          <w:b/>
          <w:color w:val="000000"/>
          <w:sz w:val="24"/>
        </w:rPr>
        <w:t>SU-12　查询运营指标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表A-12 SU-12　查询运营指标用例规约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标题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内容（SU-12）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用例名称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SU-12　查询运营指标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执行者／触发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本店主管或授权总部；用户提交只读筛选条件。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涉众利益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主管需可解释指标；患者和牙医不应被错误统计结论误导。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前置条件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有当前范围和明确日期区间。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基本路径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1）主管／总部提交授权范围内的日期筛选条件。2）系统按计划日期筛选已到结束时间的就诊，区分到诊、患者取消、诊所取消、爽约与待核实。3）系统反馈分子、分母、样本量、查询时刻及缺失说明，不改变业务状态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扩展路径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未来预约与被改期替代记录不混入主要分母。 零分母显示N/A；未判定记录不假装为爽约。 范围外查询被拒绝，不用费用或少量样本判断临床能力。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成功结果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只读结果可解释，数据不因查询改变。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最低保证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只读查询不改状态；非法范围不扩大权限，零分母不显示为0%。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追踪与状态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BR-10；AT-12；原始规则和验收组保留，当前执行证据与范围见第5章。</w:t>
            </w:r>
          </w:p>
        </w:tc>
      </w:tr>
    </w:tbl>
    <w:p>
      <w:pPr>
        <w:spacing w:after="0" w:line="20" w:lineRule="exact" w:before="0"/>
        <w:ind w:firstLine="0"/>
      </w:pPr>
      <w:r>
        <w:rPr>
          <w:rFonts w:ascii="Liberation Serif" w:hAnsi="Liberation Serif" w:eastAsia="Noto Serif CJK SC"/>
          <w:b w:val="0"/>
          <w:color w:val="000000"/>
          <w:sz w:val="2"/>
        </w:rPr>
      </w:r>
    </w:p>
    <w:p>
      <w:pPr>
        <w:pStyle w:val="Heading3"/>
      </w:pPr>
      <w:r>
        <w:rPr>
          <w:rFonts w:ascii="Liberation Serif" w:hAnsi="Liberation Serif" w:eastAsia="Noto Sans CJK SC"/>
          <w:b/>
          <w:color w:val="000000"/>
          <w:sz w:val="24"/>
        </w:rPr>
        <w:t>SU-13　登记或退出候补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表A-13 SU-13　登记或退出候补用例规约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标题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内容（SU-13）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用例名称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SU-13　登记或退出候补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执行者／触发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本人患者或该店前台；无合适时段，或者不再需要等待。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涉众利益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患者需保留时间选择权；诊所需区分等待偏好与正式承诺。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前置条件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患者及诊所有效、当前主体获授权；本用例校验时间窗口和现有候补，不预设输入已合法。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基本路径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1）患者提交诊所、可选牙医及连续可接受区间；前台代办时另核对患者编号。2）系统核验最早可开始和最晚必须结束时间，至少容纳30分钟且在滚动14天范围内；区间不是每天重复时段。3）患者／前台明确确认这只是偏好；系统重验时间与唯一有效候补，保存等待安排。4）患者／前台请求退出并确认后，系统撤回未接受邀约并保留历史；已成预约须走SU-05，不由退出候补取消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扩展路径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过去时间、倒置区间或不足30分钟：在对应字段指出具体原因，不使用笼统合并提示。 页面停留后时间失效、已有有效候补、账号／诊所停用：拒绝，不留下第二条有效需求。 需求已转预约：不删除正式预约；引导到预约详情。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成功结果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登记不是预约；退出不删除历史，也不取消其他正式预约。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最低保证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非法登记不产生第二条有效候补；退出不删除历史，也不取消已成立的预约。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追踪与状态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BR-07；AT-13；原始规则和验收组保留，当前执行证据与范围见第5章。</w:t>
            </w:r>
          </w:p>
        </w:tc>
      </w:tr>
    </w:tbl>
    <w:p>
      <w:pPr>
        <w:spacing w:after="0" w:line="20" w:lineRule="exact" w:before="0"/>
        <w:ind w:firstLine="0"/>
      </w:pPr>
      <w:r>
        <w:rPr>
          <w:rFonts w:ascii="Liberation Serif" w:hAnsi="Liberation Serif" w:eastAsia="Noto Serif CJK SC"/>
          <w:b w:val="0"/>
          <w:color w:val="000000"/>
          <w:sz w:val="2"/>
        </w:rPr>
      </w:r>
    </w:p>
    <w:p>
      <w:pPr>
        <w:pStyle w:val="Heading3"/>
      </w:pPr>
      <w:r>
        <w:rPr>
          <w:rFonts w:ascii="Liberation Serif" w:hAnsi="Liberation Serif" w:eastAsia="Noto Sans CJK SC"/>
          <w:b/>
          <w:color w:val="000000"/>
          <w:sz w:val="24"/>
        </w:rPr>
        <w:t>SU-14　生成有限排程建议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表A-14 SU-14　生成有限排程建议用例规约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标题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内容（SU-14）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用例名称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SU-14　生成有限排程建议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执行者／触发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当前诊所主管；主管请求生成候选安排。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涉众利益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主管需可行且有边界的建议；患者既有预约不得被自动移动。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前置条件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当前诊所主管身份与范围有效；本用例负责检查有无候补需求与可用出诊，不把“必有可行方案”当成前置条件。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基本路径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1）主管请求生成本店建议；系统按登记顺序纳入最多60条需求、80个出诊块，并枚举最多200个30分钟候选格。2）系统排除当前预约、有效保留、时间及牙医偏好冲突。3）系统在有限二部图中求最大匹配，保存并反馈草案、未安排项、生成时点及截断范围；不占位，不移动既有预约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扩展路径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无候选：展示未安排及原因范围，不伪造可行解。 达到上限：说明仅处理枚举范围，不称全域最优。 此步骤不锁定时段；求解后可用性仍可能变化。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成功结果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仅保存草案；不修改已有预约，不声称椅位/资格/通勤优化。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最低保证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无候选或计算失败只给出说明；不产生邀约、不占用时间、不移动已有预约。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追踪与状态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BR-08；AT-14；原始规则和验收组保留，当前执行证据与范围见第5章。</w:t>
            </w:r>
          </w:p>
        </w:tc>
      </w:tr>
    </w:tbl>
    <w:p>
      <w:pPr>
        <w:spacing w:after="0" w:line="20" w:lineRule="exact" w:before="0"/>
        <w:ind w:firstLine="0"/>
      </w:pPr>
      <w:r>
        <w:rPr>
          <w:rFonts w:ascii="Liberation Serif" w:hAnsi="Liberation Serif" w:eastAsia="Noto Serif CJK SC"/>
          <w:b w:val="0"/>
          <w:color w:val="000000"/>
          <w:sz w:val="2"/>
        </w:rPr>
      </w:r>
    </w:p>
    <w:p>
      <w:pPr>
        <w:pStyle w:val="Heading3"/>
      </w:pPr>
      <w:r>
        <w:rPr>
          <w:rFonts w:ascii="Liberation Serif" w:hAnsi="Liberation Serif" w:eastAsia="Noto Sans CJK SC"/>
          <w:b/>
          <w:color w:val="000000"/>
          <w:sz w:val="24"/>
        </w:rPr>
        <w:t>SU-15　审核并发布限时邀约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表A-15 SU-15　审核并发布限时邀约用例规约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标题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内容（SU-15）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用例名称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SU-15　审核并发布限时邀约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执行者／触发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当前诊所主管；主管核对建议后确认发布。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涉众利益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患者需明确确认期限；主管需避免半批发布及过期草案生效。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前置条件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草案属于本店，未发布且生成未超过15分钟。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基本路径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1）主管核对本店草案、生成时点、所涉需求和候选时间，明确请求发布。2）系统执行SF-01并重验授权、需求修订及占用。3）全部通过时，系统整批建立限时邀约；期限为发布后15分钟或预约开始时刻的较早者。4）系统反馈发布结果及确认期限；正式预约数不因发布而增加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扩展路径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任一项已变化或发生冲突：整批不发布，提示重新生成。 空草案/过旧草案：拒绝发布。 重复成功提交返回既有结果，不增加同一请求的邀约。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成功结果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请求转等待确认；邀约暂占资源，但正式预约数不因发布增加。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最低保证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任何一项不再可行则本批不发布；不得只发一部分而回执声称整批失败。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追踪与状态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BR-07、BR-08；AT-15；原始规则和验收组保留，当前执行证据与范围见第5章。</w:t>
            </w:r>
          </w:p>
        </w:tc>
      </w:tr>
    </w:tbl>
    <w:p>
      <w:pPr>
        <w:spacing w:after="0" w:line="20" w:lineRule="exact" w:before="0"/>
        <w:ind w:firstLine="0"/>
      </w:pPr>
      <w:r>
        <w:rPr>
          <w:rFonts w:ascii="Liberation Serif" w:hAnsi="Liberation Serif" w:eastAsia="Noto Serif CJK SC"/>
          <w:b w:val="0"/>
          <w:color w:val="000000"/>
          <w:sz w:val="2"/>
        </w:rPr>
      </w:r>
    </w:p>
    <w:p>
      <w:pPr>
        <w:pStyle w:val="Heading3"/>
      </w:pPr>
      <w:r>
        <w:rPr>
          <w:rFonts w:ascii="Liberation Serif" w:hAnsi="Liberation Serif" w:eastAsia="Noto Sans CJK SC"/>
          <w:b/>
          <w:color w:val="000000"/>
          <w:sz w:val="24"/>
        </w:rPr>
        <w:t>SU-16　接受或拒绝候补邀约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表A-16 SU-16　接受或拒绝候补邀约用例规约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标题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内容（SU-16）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用例名称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SU-16　接受或拒绝候补邀约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执行者／触发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本人患者或当前诊所前台；用户主动查看邀约并作出决定。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涉众利益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患者保留最终决定权；诊所需保证一次确认仅形成一条预约。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前置条件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已登录为本人患者或有当前店权限的前台；能读取目标邀约。首次接受须待确认且未过期；已接受的重试另行核验关联预约。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基本路径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1）患者请求查阅本人邀约；前台在当前店代办时取得患者明确意思。2）系统反馈诊所、牙医、时段与截止；患者／前台明确选择接受或拒绝。3）接受时系统执行SF-01并排除自身保留，重验有效性后同步保存预约、候补及邀约关联。4）拒绝时系统释放保留并恢复等待；接受成功时系统反馈准确关联的预约供核对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扩展路径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拒绝有效邀约：不创建预约，释放保留；需求恢复等待。 首次接受已过期、被撤回或已冲突的邀约：拒绝并解释下一步，不创建预约。 已接受的重复请求：先核验当前权限及关联预约，返回同一预约，不因原确认期已过而创建新预约或误报原预约不存在。 当前主体无权、上下文已变或保存失败：拒绝／回滚；无法确定请求结果时先查询既有结果，不盲目重建。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成功结果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接受恰形成一条正式预约；拒绝不形成预约、不删除需求。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最低保证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一次成功接受只关联一条预约；失败不半途释放尚有效的保留后丢失原机会。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追踪与状态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BR-07；AT-16；原始规则和验收组保留，当前执行证据与范围见第5章。</w:t>
            </w:r>
          </w:p>
        </w:tc>
      </w:tr>
    </w:tbl>
    <w:p>
      <w:pPr>
        <w:spacing w:after="0" w:line="20" w:lineRule="exact" w:before="0"/>
        <w:ind w:firstLine="0"/>
      </w:pPr>
      <w:r>
        <w:rPr>
          <w:rFonts w:ascii="Liberation Serif" w:hAnsi="Liberation Serif" w:eastAsia="Noto Serif CJK SC"/>
          <w:b w:val="0"/>
          <w:color w:val="000000"/>
          <w:sz w:val="2"/>
        </w:rPr>
      </w:r>
    </w:p>
    <w:p>
      <w:pPr>
        <w:pStyle w:val="Heading3"/>
      </w:pPr>
      <w:r>
        <w:rPr>
          <w:rFonts w:ascii="Liberation Serif" w:hAnsi="Liberation Serif" w:eastAsia="Noto Sans CJK SC"/>
          <w:b/>
          <w:color w:val="000000"/>
          <w:sz w:val="24"/>
        </w:rPr>
        <w:t>SU-17　回收过期邀约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表A-17 SU-17　回收过期邀约用例规约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标题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内容（SU-17）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用例名称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SU-17　回收过期邀约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执行者／触发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当前诊所主管或前台；在候补页明确执行回收。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涉众利益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候补患者需重新参与匹配；已确认预约不得被清理误删。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前置条件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有本店到期仍待处理的邀约。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基本路径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1）主管／前台请求回收本店过期邀约，核对影响后确认。2）系统按当前时刻核验应处理对象，并将到期未确认邀约标为过期。3）系统恢复相应候补的等待状态，保留历史；每批最多200条，可继续处理剩余项。到期是否有效不依赖后台或本次清理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扩展路径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仍有效、已接受或其他店邀约不受影响。 单次最多200条；剩余可再次执行。 本版没有后台自动回收；过期时间本身已使保留不再阻挡新预约。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成功结果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历史保留；回收不删除已经成立的预约。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最低保证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回收只作用于应到期的未确认邀约；不改变已接受邀约或删除正式预约。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追踪与状态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BR-07；AT-17；原始规则和验收组保留，当前执行证据与范围见第5章。</w:t>
            </w:r>
          </w:p>
        </w:tc>
      </w:tr>
    </w:tbl>
    <w:p>
      <w:pPr>
        <w:spacing w:after="0" w:line="20" w:lineRule="exact" w:before="0"/>
        <w:ind w:firstLine="0"/>
      </w:pPr>
      <w:r>
        <w:rPr>
          <w:rFonts w:ascii="Liberation Serif" w:hAnsi="Liberation Serif" w:eastAsia="Noto Serif CJK SC"/>
          <w:b w:val="0"/>
          <w:color w:val="000000"/>
          <w:sz w:val="2"/>
        </w:rPr>
      </w:r>
    </w:p>
    <w:p>
      <w:pPr>
        <w:pStyle w:val="Heading3"/>
      </w:pPr>
      <w:r>
        <w:rPr>
          <w:rFonts w:ascii="Liberation Serif" w:hAnsi="Liberation Serif" w:eastAsia="Noto Sans CJK SC"/>
          <w:b/>
          <w:color w:val="000000"/>
          <w:sz w:val="24"/>
        </w:rPr>
        <w:t>SU-18　获取操作引导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表A-18 SU-18　获取操作引导用例规约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标题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内容（SU-18）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用例名称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SU-18　获取操作引导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执行者／触发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患者、牙医、前台、主管、总部、财务；用户提问或从任务目录选择指南。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涉众利益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初次使用者需找到真实办理路径；机构需防止越权与虚假成功说明。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前置条件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已选有效工作身份；普通业务无需AI也可用。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基本路径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1）业务用户提交办理意图或选定任务；系统依据当前身份匹配适用指南，不明确时先澄清。2）仅经同意，系统可请求外部模型识别白名单意图；无钥、不同意或故障时系统明确使用本地模式。3）系统按维护目录反馈真实页面、条件与操作步骤，不把记录治疗扩大为结束接诊。4）业务用户自行办理并确认；说明进度不等于业务完成。候补结果可另用SU-24核对，其他任务尚无通用事实核对能力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扩展路径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换身份/诊所：旧引导失效；网络返回后再次检查上下文。 模型失败明确降级；不伪造链接或办理成功。 医学判断转人工；无权任务说明切换已有身份，不新增授权。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成功结果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聊天无业务写入；只有实际业务页面提交才可能改变记录。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最低保证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不自行选患者、提交或宣布成功；错误分类可返回任务目录，原业务表单仍可用。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追踪与状态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BR-09；AT-18；原始规则和验收组保留，当前执行证据与范围见第5章。</w:t>
            </w:r>
          </w:p>
        </w:tc>
      </w:tr>
    </w:tbl>
    <w:p>
      <w:pPr>
        <w:spacing w:after="0" w:line="20" w:lineRule="exact" w:before="0"/>
        <w:ind w:firstLine="0"/>
      </w:pPr>
      <w:r>
        <w:rPr>
          <w:rFonts w:ascii="Liberation Serif" w:hAnsi="Liberation Serif" w:eastAsia="Noto Serif CJK SC"/>
          <w:b w:val="0"/>
          <w:color w:val="000000"/>
          <w:sz w:val="2"/>
        </w:rPr>
      </w:r>
    </w:p>
    <w:p>
      <w:pPr>
        <w:pStyle w:val="Heading3"/>
      </w:pPr>
      <w:r>
        <w:rPr>
          <w:rFonts w:ascii="Liberation Serif" w:hAnsi="Liberation Serif" w:eastAsia="Noto Sans CJK SC"/>
          <w:b/>
          <w:color w:val="000000"/>
          <w:sz w:val="24"/>
        </w:rPr>
        <w:t>SU-19　新增牙医出诊时段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表A-19 SU-19　新增牙医出诊时段用例规约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标题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内容（SU-19）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用例名称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SU-19　新增牙医出诊时段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执行者／触发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当前诊所主管；新增供预约/排程使用的可用时间。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涉众利益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主管需协调本店可用时间；牙医需避免跨店出诊重叠。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前置条件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牙医及本店有效；时段在未来。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基本路径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1）主管提交本店有效牙医及未来出诊起止时间。2）系统核验当前范围、牙医状态、时间顺序及跨店出诊重叠。3）主管明确确认后，系统保存出诊安排与事件并反馈结果；这本身不等于患者预约或临床资格确认。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扩展路径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无当前店权限、牙医停用、开始晚于结束或冲突：拒绝。 既有时段变更另见 SU-29／30；不能任意覆盖原时间。 新增时段不意味着医学资格适配或椅位资源已保证。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成功结果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形成可查询的出诊安排；患者仍须另行确认预约。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最低保证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冲突或校验失败不写入新的出诊时段；已有预约和出诊记录保持不变。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追踪与状态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BR-03；AT-19；原始规则和验收组保留，当前执行证据与范围见第5章。</w:t>
            </w:r>
          </w:p>
        </w:tc>
      </w:tr>
    </w:tbl>
    <w:p>
      <w:pPr>
        <w:spacing w:after="0" w:line="20" w:lineRule="exact" w:before="0"/>
        <w:ind w:firstLine="0"/>
      </w:pPr>
      <w:r>
        <w:rPr>
          <w:rFonts w:ascii="Liberation Serif" w:hAnsi="Liberation Serif" w:eastAsia="Noto Serif CJK SC"/>
          <w:b w:val="0"/>
          <w:color w:val="000000"/>
          <w:sz w:val="2"/>
        </w:rPr>
      </w:r>
    </w:p>
    <w:p>
      <w:pPr>
        <w:pStyle w:val="Heading3"/>
      </w:pPr>
      <w:r>
        <w:rPr>
          <w:rFonts w:ascii="Liberation Serif" w:hAnsi="Liberation Serif" w:eastAsia="Noto Sans CJK SC"/>
          <w:b/>
          <w:color w:val="000000"/>
          <w:sz w:val="24"/>
        </w:rPr>
        <w:t>SU-20　选择显示方式与非聊天帮助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表A-20 SU-20　选择显示方式与非聊天帮助用例规约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标题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内容（SU-20）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用例名称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SU-20　选择显示方式与非聊天帮助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执行者／触发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所有系统用户；用户调整字号、使用键盘或进入帮助目录。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涉众利益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不同使用习惯的人需可达的操作方式；个人资料不应被自动外传。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前置条件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已打开支持的页面；业务入口依然存在。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基本路径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1）账号使用者自主选择标准／大字简明模式，系统不按年龄强制分流。2）系统保留文字、键盘、普通业务和可返回退出的说明路径。3）账号使用者主动请求朗读时，系统仅在设备有可用本地中文声音时提供朗读，不自动录音或上传云端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扩展路径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无可用语音：保留文本，不自动上传云端语音。 JavaScript或AI不可用：服务端普通表单仍可使用。 切换身份前提示未提交内容；不声称已自动保存草稿。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成功结果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用户明确当前模式与进度；无自动录音、病情上传或业务提交。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最低保证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显示方式调整不改变业务资料；无语音或外部AI时保留文字、键盘与普通操作路径。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追踪与状态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NFR-02；AT-20；原始规则和验收组保留，当前执行证据与范围见第5章。</w:t>
            </w:r>
          </w:p>
        </w:tc>
      </w:tr>
    </w:tbl>
    <w:p>
      <w:pPr>
        <w:spacing w:after="0" w:line="20" w:lineRule="exact" w:before="0"/>
        <w:ind w:firstLine="0"/>
      </w:pPr>
      <w:r>
        <w:rPr>
          <w:rFonts w:ascii="Liberation Serif" w:hAnsi="Liberation Serif" w:eastAsia="Noto Serif CJK SC"/>
          <w:b w:val="0"/>
          <w:color w:val="000000"/>
          <w:sz w:val="2"/>
        </w:rPr>
      </w:r>
    </w:p>
    <w:p>
      <w:pPr>
        <w:pStyle w:val="Heading3"/>
      </w:pPr>
      <w:r>
        <w:rPr>
          <w:rFonts w:ascii="Liberation Serif" w:hAnsi="Liberation Serif" w:eastAsia="Noto Sans CJK SC"/>
          <w:b/>
          <w:color w:val="000000"/>
          <w:sz w:val="24"/>
        </w:rPr>
        <w:t>SU-21　维护普通账号与业务授权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表A-21 SU-21　维护普通账号与业务授权用例规约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标题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内容（SU-21）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用例名称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SU-21　维护普通账号与业务授权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执行者／触发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当前具备有效技术管理身份的维护人员；为演示用户开户、授权、停用、绑定或重置密码。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涉众利益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业务人员需取得适当权限；患者与机构需避免误绑定和擅自提权。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前置条件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操作者的技术授权有效；能够核对目标账号与操作依据。此页不维护自身或技术管理／超级用户目标。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基本路径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1）技术管理人员重新验证本人密码，核对目标账号与当前状态，并提交理由。2）系统按明确请求创建默认无业务身份的普通账号，或授予／撤回允许的身份和诊所范围。3）技术管理人员核对既有患者后请求绑定；系统不允许自行认领或覆盖已有绑定。4）系统执行获准的启用、常规停用或密码重置，保存审计并使受影响旧工作上下文失效；未闭合业务的常规处理限制不变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扩展路径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密码错误、目标已变或旧表单：拒绝并要求重核。 给自己提权、发放技术身份、组合错误范围、牙医关联无效：拒绝。 已有患者或牙医关联不覆盖；未闭合业务阻止正常退役或受限撤权。凭据失效的账号须先受控重置密码，再明确启用，不自动恢复旧会话。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成功结果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成功变更仅作用于核对过的目标；默认不开放临床资料，也不删除业务历史。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最低保证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任一校验或审计失败时本次管理操作不部分生效；密码不写入操作说明与日志。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追踪与状态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BR-01、BR-11；AT-21；原始规则和验收组保留，当前执行证据与范围见第5章。</w:t>
            </w:r>
          </w:p>
        </w:tc>
      </w:tr>
    </w:tbl>
    <w:p>
      <w:pPr>
        <w:spacing w:after="0" w:line="20" w:lineRule="exact" w:before="0"/>
        <w:ind w:firstLine="0"/>
      </w:pPr>
      <w:r>
        <w:rPr>
          <w:rFonts w:ascii="Liberation Serif" w:hAnsi="Liberation Serif" w:eastAsia="Noto Serif CJK SC"/>
          <w:b w:val="0"/>
          <w:color w:val="000000"/>
          <w:sz w:val="2"/>
        </w:rPr>
      </w:r>
    </w:p>
    <w:p>
      <w:pPr>
        <w:pStyle w:val="Heading3"/>
      </w:pPr>
      <w:r>
        <w:rPr>
          <w:rFonts w:ascii="Liberation Serif" w:hAnsi="Liberation Serif" w:eastAsia="Noto Sans CJK SC"/>
          <w:b/>
          <w:color w:val="000000"/>
          <w:sz w:val="24"/>
        </w:rPr>
        <w:t>SU-22　修改本人密码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表A-22 SU-22　修改本人密码用例规约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标题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内容（SU-22）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用例名称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SU-22　修改本人密码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执行者／触发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已登录的账号使用者；用户从工作台打开“修改我的密码”。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涉众利益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账号使用者需安全更换凭据；已有授权与业务应保持不变。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前置条件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当前会话有效，并能提供原密码；遗忘原密码不属于本用例。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基本路径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1）账号使用者提交当前密码和两次一致的新密码。2）系统验证原凭据、新密码规则及当前会话；账号使用者明确确认。3）系统保存新凭据，要求重新登录并重新确定身份及必要诊所范围；不改变角色、患者绑定和业务记录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扩展路径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两次新密码不一致、原密码错误或新密码不符合规则：显示字段原因，不保存。 身份变化或页面过期：拒绝，重新开始。 遗忘密码：引导到受控管理员重置，不通过该页面跳过旧密码核验。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成功结果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仅本人登录凭据发生变化；角色、患者绑定、预约和账单不改变。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最低保证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失败保留旧凭据；不在页面、聊天或日志回显密码。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追踪与状态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BR-11；AT-22；原始规则和验收组保留，当前执行证据与范围见第5章。</w:t>
            </w:r>
          </w:p>
        </w:tc>
      </w:tr>
    </w:tbl>
    <w:p>
      <w:pPr>
        <w:spacing w:after="0" w:line="20" w:lineRule="exact" w:before="0"/>
        <w:ind w:firstLine="0"/>
      </w:pPr>
      <w:r>
        <w:rPr>
          <w:rFonts w:ascii="Liberation Serif" w:hAnsi="Liberation Serif" w:eastAsia="Noto Serif CJK SC"/>
          <w:b w:val="0"/>
          <w:color w:val="000000"/>
          <w:sz w:val="2"/>
        </w:rPr>
      </w:r>
    </w:p>
    <w:p>
      <w:pPr>
        <w:pStyle w:val="Heading3"/>
      </w:pPr>
      <w:r>
        <w:rPr>
          <w:rFonts w:ascii="Liberation Serif" w:hAnsi="Liberation Serif" w:eastAsia="Noto Sans CJK SC"/>
          <w:b/>
          <w:color w:val="000000"/>
          <w:sz w:val="24"/>
        </w:rPr>
        <w:t>SU-23　维护标准治疗目录与当前单价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表A-23 SU-23　维护标准治疗目录与当前单价用例规约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标题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内容（SU-23）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用例名称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SU-23　维护标准治疗目录与当前单价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执行者／触发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财务维护；总部只读；新增标准项目，或因业务依据调整当前标准单价。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涉众利益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财务需维护标准单价；患者与总部需保证历史费用不被回溯改写。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前置条件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当前财务／总部身份及权限有效；写操作仅财务。目标为允许维护的标准治疗目录，不是某次就诊的账单。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基本路径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1）财务／总部请求查阅标准目录；系统反馈编码、名称、单位和当前单价。2）财务提交未使用编码的新项目，或既有项目的新单价与依据，并明确确认。3）系统重新核验权限、目标状态和数值，一并保存目录变更及审计。4）新录入治疗按相应计价规则办理；系统不回写已存治疗快照或已发布账单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扩展路径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总部只有查阅能力；其他身份不能借目录入口改价。 重复编码、非有限／负金额、超过两位小数、依据不足：明确拒绝，不自动舍入用户单价。 目标已变化、过期页面、撤权或审计失败：不变更；本例不支持删除目录、回溯调价或替代账单更正。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成功结果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目录当前单价可查；已保存治疗与历史结算单保持原值。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最低保证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目录和审计一起成功或一起撤销；不以改变目录方式修改历史收入。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追踪与状态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BR-05、BR-12；AT-23；原始规则和验收组保留，当前执行证据与范围见第5章。</w:t>
            </w:r>
          </w:p>
        </w:tc>
      </w:tr>
    </w:tbl>
    <w:p>
      <w:pPr>
        <w:spacing w:after="0" w:line="20" w:lineRule="exact" w:before="0"/>
        <w:ind w:firstLine="0"/>
      </w:pPr>
      <w:r>
        <w:rPr>
          <w:rFonts w:ascii="Liberation Serif" w:hAnsi="Liberation Serif" w:eastAsia="Noto Serif CJK SC"/>
          <w:b w:val="0"/>
          <w:color w:val="000000"/>
          <w:sz w:val="2"/>
        </w:rPr>
      </w:r>
    </w:p>
    <w:p>
      <w:pPr>
        <w:pStyle w:val="Heading3"/>
      </w:pPr>
      <w:r>
        <w:rPr>
          <w:rFonts w:ascii="Liberation Serif" w:hAnsi="Liberation Serif" w:eastAsia="Noto Sans CJK SC"/>
          <w:b/>
          <w:color w:val="000000"/>
          <w:sz w:val="24"/>
        </w:rPr>
        <w:t>SU-24　核对候补是否已转预约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表A-24 SU-24　核对候补是否已转预约用例规约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标题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内容（SU-24）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用例名称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SU-24　核对候补是否已转预约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执行者／触发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本人患者或当前诊所前台；在选定候补或邀约页点击只读核对；尤其是确认后未见回执、不确定是否办成。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涉众利益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患者需辨别准确办理结果；前台需避免因回执未知重复建立预约。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前置条件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已登录并激活患者／前台身份；前台已选店。目标可访问性、页面上下文和记录一致性由本用例核验，不预设已办理成功。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基本路径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1）患者／前台选定具体候补并请求核对，不自动换成他人或最近一条预约。2）系统重验当前身份、本人／本店范围与页面上下文，读取该请求及直接关联邀约、预约的必要事实。3）系统先核对已接受历史与关联，再区分当前取消、改期替代、到诊或结束；返回前复核当前授权。4）系统反馈读取时点、规则版本和下一步，仅在关联一致时提供准确入口。5）业务只读模式仍允许此核对，但不赋予接受、撤回、创建或其他业务写入权限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扩展路径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无权或记录不存在：不给他人详情；切身份、切店、撤权或旧页面：停止核对并要求返回工作台。 首次确认机会已过期：说明不能首次接受；已转预约不因原截止时间已过而消失。关联缺失／矛盾：提示前台核对，不猜测成功。 读取暂不可用：提示结果未知、不代表此前失败，不自动重发。刷新后的状态可能变化，正式业务提交仍独立核验。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成功结果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返回所选候补在读取时点的受限结论及真实操作入口；不把历史转换与当前有效预约混淆。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最低保证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本用例不更改患者、预约、候补、邀约或账单；不调用外部模型，不查临床内容，不以查询失败推断原办理失败。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追踪与状态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BR-01、BR-07、BR-13、NFR-03、NFR-04、BR-14；AT-24；原始规则和验收组保留，当前执行证据与范围见第5章。</w:t>
            </w:r>
          </w:p>
        </w:tc>
      </w:tr>
    </w:tbl>
    <w:p>
      <w:pPr>
        <w:spacing w:after="0" w:line="20" w:lineRule="exact" w:before="0"/>
        <w:ind w:firstLine="0"/>
      </w:pPr>
      <w:r>
        <w:rPr>
          <w:rFonts w:ascii="Liberation Serif" w:hAnsi="Liberation Serif" w:eastAsia="Noto Serif CJK SC"/>
          <w:b w:val="0"/>
          <w:color w:val="000000"/>
          <w:sz w:val="2"/>
        </w:rPr>
      </w:r>
    </w:p>
    <w:p>
      <w:pPr>
        <w:pStyle w:val="Heading3"/>
      </w:pPr>
      <w:r>
        <w:rPr>
          <w:rFonts w:ascii="Liberation Serif" w:hAnsi="Liberation Serif" w:eastAsia="Noto Sans CJK SC"/>
          <w:b/>
          <w:color w:val="000000"/>
          <w:sz w:val="24"/>
        </w:rPr>
        <w:t>SU-25　紧急安全封禁普通账号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表A-25 SU-25　紧急安全封禁普通账号用例规约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标题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内容（SU-25）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用例名称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SU-25　紧急安全封禁普通账号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执行者／触发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当前技术管理人员；发现普通账号疑似泄露，需要立即阻止后续访问。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涉众利益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机构需及时阻止受损账号访问；患者与牙医的既有承诺仍须保留。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前置条件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操作者有有效技术身份并可重新验证自己的密码；目标不是本人、技术管理或超级用户账号。未闭合业务不是本用例的阻断条件。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基本路径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1）系统反馈目标账号状态及封禁影响：停用、使原凭据失效，保留角色、患者关联和既有业务。2）技术管理人员提交依据，重新验证本人密码，并明确确认紧急封禁。3）系统重验操作者、目标状态和只读限制，一并停用目标、失效原凭据及旧工作上下文并保存审计。4）系统反馈结果和恢复方式：先受控重置密码，再单独启用；业务责任交接由获授权人员另行办理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扩展路径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操作者密码错误、目标签名过期、越权或只读实例：拒绝，不改变账号。 目标受保护或已经停用：提示按受控恢复／维护流程处理，不重复授予权限。 审计或保存失败：回滚账号与上下文变更；网络回执未知时先重新查询，不声称已经封禁。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成功结果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提交生效后，目标不能凭原密码或旧会话继续发起受保护操作；预约、候补、治疗及账单未被该操作取消或转移。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最低保证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失败不部分封禁；不修改专业责任归属。封禁不撤销其提交前已经完成的业务，也不承诺清除浏览器已显示的信息。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追踪与状态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BR-01、BR-11、BR-15；AT-25；原始规则和验收组保留，当前执行证据与范围见第5章。</w:t>
            </w:r>
          </w:p>
        </w:tc>
      </w:tr>
    </w:tbl>
    <w:p>
      <w:pPr>
        <w:spacing w:after="0" w:line="20" w:lineRule="exact" w:before="0"/>
        <w:ind w:firstLine="0"/>
      </w:pPr>
      <w:r>
        <w:rPr>
          <w:rFonts w:ascii="Liberation Serif" w:hAnsi="Liberation Serif" w:eastAsia="Noto Serif CJK SC"/>
          <w:b w:val="0"/>
          <w:color w:val="000000"/>
          <w:sz w:val="2"/>
        </w:rPr>
      </w:r>
    </w:p>
    <w:p>
      <w:pPr>
        <w:pStyle w:val="Heading3"/>
      </w:pPr>
      <w:r>
        <w:rPr>
          <w:rFonts w:ascii="Liberation Serif" w:hAnsi="Liberation Serif" w:eastAsia="Noto Sans CJK SC"/>
          <w:b/>
          <w:color w:val="000000"/>
          <w:sz w:val="24"/>
        </w:rPr>
        <w:t>SF-01　核验时间与占用（共享子功能）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表A-26 SF-01　核验时间与占用（共享子功能）用例规约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标题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内容（SF-01）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用例名称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SF-01　核验时间与占用（共享子功能）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调用关系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SU-04创建预约和SU-15发布邀约必须执行；SU-16仅接受分支复用。无独立用户入口。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输入及前置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提供患者、牙医、诊所、起止时间及可排除的自身保留；上层已识别主体，但仍需核验当前权限及对象范围。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行为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检查时间顺序、有效出诊覆盖和已有预约／邀约冲突；查询可用性不形成保留，写入前再次核验。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结果与最低保证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返回可继续办理或具体失败原因；核验本身不创建预约。现有合同不保证椅位、设备或通勤，后续资源扩展不得绕过统一核验。</w:t>
            </w:r>
          </w:p>
        </w:tc>
      </w:tr>
    </w:tbl>
    <w:p>
      <w:pPr>
        <w:spacing w:after="0" w:line="20" w:lineRule="exact" w:before="0"/>
        <w:ind w:firstLine="0"/>
      </w:pPr>
      <w:r>
        <w:rPr>
          <w:rFonts w:ascii="Liberation Serif" w:hAnsi="Liberation Serif" w:eastAsia="Noto Serif CJK SC"/>
          <w:b w:val="0"/>
          <w:color w:val="000000"/>
          <w:sz w:val="2"/>
        </w:rPr>
      </w:r>
    </w:p>
    <w:p>
      <w:pPr>
        <w:pStyle w:val="Heading1"/>
        <w:pageBreakBefore/>
      </w:pPr>
      <w:r>
        <w:rPr>
          <w:rFonts w:ascii="Liberation Serif" w:hAnsi="Liberation Serif" w:eastAsia="Noto Sans CJK SC"/>
          <w:b/>
          <w:color w:val="000000"/>
          <w:sz w:val="32"/>
        </w:rPr>
        <w:t>附录B 维护 协调与通知用例规约</w:t>
      </w:r>
    </w:p>
    <w:p>
      <w:pPr>
        <w:spacing w:after="0"/>
      </w:pPr>
      <w:r>
        <w:rPr>
          <w:rFonts w:ascii="Liberation Serif" w:hAnsi="Liberation Serif" w:eastAsia="Noto Serif CJK SC"/>
          <w:b w:val="0"/>
          <w:color w:val="000000"/>
          <w:sz w:val="21"/>
        </w:rPr>
        <w:t>保留SU-26—38的维护、协调与通知责任。站内消息只覆盖协调任务；不通知患者、不自动同意、不代替接诊或资金事实。资料更正、出诊维护及重试继续遵守原有权限、签名、独立审核与事务规则。</w:t>
      </w:r>
    </w:p>
    <w:p>
      <w:pPr>
        <w:pStyle w:val="Heading3"/>
      </w:pPr>
      <w:r>
        <w:rPr>
          <w:rFonts w:ascii="Liberation Serif" w:hAnsi="Liberation Serif" w:eastAsia="Noto Sans CJK SC"/>
          <w:b/>
          <w:color w:val="000000"/>
          <w:sz w:val="24"/>
        </w:rPr>
        <w:t>SU-26　更正患者联络资料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表B-1 SU-26　更正患者联络资料用例规约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标题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内容（SU-26）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用例名称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SU-26　更正患者联络资料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业务问题与涉众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当前档案已经能够建档和查阅，但电话、邮箱或地址发生变化后，前台缺少受控更正入口。患者希望后续联系准确；前台希望一次核对后保存；负责牙医不希望临床内容被联络维护改变；财务希望历史单据仍能反映当时结算依据；维护人员希望差异、责任与重复请求有明确规则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执行者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当前激活前台身份并选择授权诊所的工作人员。患者为资料涉众，本用例不开放患者自行编辑。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触发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前台取得患者说明，需要更新联络资料或更正已核对的录入错误。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前置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账号已登录，前台工作上下文存在。对象关联、权限是否仍有效、输入是否合法属于执行中检查，不预设成功。仅使用合成演示资料。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成功后置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恰好更新经预览确认的联络字段，并保存一条与操作编号关联的审计事件。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最低保证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校验失败不写入任何联络字段；审计或保存失败时本事务不部分生效；只更正指定档案，不触碰身份、过敏、账号关联、预约、治疗及已发布账单。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BR-16（本增量）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联络字段严格白名单；患者在当前店创建或有当前店就诊关系才可维护，全局精确查号本身不授予修改权。跨店患者仍是一份共享档案，修改不会复制成另一个人。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BR-17（本增量）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预览不改业务数据；最终确认必须重新校验授权、上下文和快照；同次成功请求不重复写入。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BR-18（本增量）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联络变更事件不保存原始电话、地址或邮箱。已发布结算头快照保持不变。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设计决定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预览令牌有效15分钟；更正依据从三个固定理由中选择，不允许在自由原因栏填写病史或其他敏感内容。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基本路径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1. 前台指定患者，请求更正联络资料。</w:t>
              <w:br/>
              <w:t>2. 系统核对有效账号、前台身份、当前诊所和患者关联，提供允许维护的当前值及受签名保护的资料快照。</w:t>
              <w:br/>
              <w:t>3. 前台提供五项完整联络字段和更正依据，请求核对变更。</w:t>
              <w:br/>
              <w:t>4. 系统复核权限与资料版本，校验字段，反馈变更前后的差异；此时不写入业务数据。</w:t>
              <w:br/>
              <w:t>5. 前台核对患者、差异与业务边界，明确确认保存。</w:t>
              <w:br/>
              <w:t>6. 系统在同一事务中锁定授权上下文及目标患者，校验签名、时间、对象、资料指纹和操作编号，更新允许字段并记录事件。</w:t>
              <w:br/>
              <w:t>7. 系统反馈本次保存结果并返回同一患者的档案；前台核对当前值。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扩展路径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• 2a／4a／6a 无关联、停用或无权限：拒绝，不暴露越权患者；账号拥有其他身份不抵销当前身份限制。</w:t>
              <w:br/>
              <w:t>• 4b 输入缺失、超长、非法邮箱、不可见控制字符或夹带姓名/过敏字段：指出原因，不保存。</w:t>
              <w:br/>
              <w:t>• 4c 没有实际差异：说明无需保存，不增加审计。</w:t>
              <w:br/>
              <w:t>• 4d 编辑期间已被更新：重新读取，不合并或覆盖他人值。</w:t>
              <w:br/>
              <w:t>• 5a 放弃：返回档案；预览不产生待办记录或部分保存。</w:t>
              <w:br/>
              <w:t>• 6b 未明确确认、令牌篡改、过期或工作台变化：拒绝旧确认，要求查询当前资料。</w:t>
              <w:br/>
              <w:t>• 6c 相同成功操作再次提交且仍有权限和有效令牌：返回原事件结果；后来的合法新值不被撤销。</w:t>
              <w:br/>
              <w:t>• 6d 两个不同预览竞争：在应用行锁协议下只允许一个基于旧快照的更正；另一个必须刷新。</w:t>
              <w:br/>
              <w:t>• 6e 联系方式A→B→A：审计游标变化，原A快照仍然过期。</w:t>
              <w:br/>
              <w:t>• 6f 保存/审计异常：回滚；网络回执未知时先查当前档案，不把未知结果说成未保存，也不自动重放。</w:t>
              <w:br/>
              <w:t>• 只读实例：可在授权范围读取现值，但预览写流程及最终保存被拒绝；普通查询不扩权。</w:t>
            </w:r>
          </w:p>
        </w:tc>
      </w:tr>
    </w:tbl>
    <w:p>
      <w:pPr>
        <w:spacing w:after="0" w:line="20" w:lineRule="exact" w:before="0"/>
        <w:ind w:firstLine="0"/>
      </w:pPr>
      <w:r>
        <w:rPr>
          <w:rFonts w:ascii="Liberation Serif" w:hAnsi="Liberation Serif" w:eastAsia="Noto Serif CJK SC"/>
          <w:b w:val="0"/>
          <w:color w:val="000000"/>
          <w:sz w:val="2"/>
        </w:rPr>
      </w:r>
    </w:p>
    <w:p>
      <w:pPr>
        <w:pStyle w:val="Heading3"/>
      </w:pPr>
      <w:r>
        <w:rPr>
          <w:rFonts w:ascii="Liberation Serif" w:hAnsi="Liberation Serif" w:eastAsia="Noto Sans CJK SC"/>
          <w:b/>
          <w:color w:val="000000"/>
          <w:sz w:val="24"/>
        </w:rPr>
        <w:t>SU-27　登记基础目录资料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表B-2 SU-27　登记基础目录资料用例规约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标题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内容（SU-27）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用例名称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SU-27　登记基础目录资料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主执行者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当前激活SYSADMIN的技术维护人员。无外部模型/短信平台作为辅执行者。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涉众利益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运营人员希望新诊所和新牙医可供后续业务使用；牙医希望身份和联系资料准确且不被过度公开；原有患者/牙医不希望登记动作改写既有预约、治疗或账单；维护人员需要可核对的失败反馈和责任记录。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触发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技术维护人员依据已经人工核对的合成资料请求登记诊所、牙医或资格类别。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前置条件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会话有效且已激活技术身份；凭据、授权、编码唯一性和输入合法性由本用例检查，不提前假定全部成立。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基本路径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1. 技术维护人员提交目录类别、编码、基础字段和登记依据，请求核对。</w:t>
              <w:br/>
              <w:t>2. 系统验证当前权限、字段范围和模型约束，核对现有编码；反馈拟登记内容及影响，尚不保存。</w:t>
              <w:br/>
              <w:t>3. 技术维护人员核对目标和资料，提供自己的技术管理密码并明确请求保存。</w:t>
              <w:br/>
              <w:t>4. 系统重新核验当前身份、工作上下文、确认期限、密码和唯一性；同步保存目录资料及审计。</w:t>
              <w:br/>
              <w:t>5. 系统反馈稳定的业务对象和后续人工入口；账号授权、资格关联及出诊安排分别办理。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扩展路径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• 2a 字段缺失、隐藏字符、编码不合格式、未来出生日期、非法面积或邮箱：系统指出问题，不登记。</w:t>
              <w:br/>
              <w:t>• 2b 已有相同编码或员工编号（含停用记录）：系统拒绝重复，不覆盖、不恢复，不凭同名自动合并。</w:t>
              <w:br/>
              <w:t>• 3a 维护人员放弃：不保存。</w:t>
              <w:br/>
              <w:t>• 4a 密码错误、未明确确认、撤权、旧上下文或过期令牌：不保存，要求重新核对。</w:t>
              <w:br/>
              <w:t>• 4b 他人已登记同一编码：本次不覆盖，提示查询既有记录。</w:t>
              <w:br/>
              <w:t>• 4c 同一成功操作重试：先核对当前权限与确认期限，再返回原结果；不重复保存。</w:t>
              <w:br/>
              <w:t>• 4d 保存或审计失败：目录与审计一起回滚。回执未知时先查询原编码，不断言前次失败。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成功后置条件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新增一条所选目录记录和相应事件；没有自动新增账号、角色、出诊、预约或账单。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最低保证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失败不留下半次登记；既有资料和历史单据保持原值。只读实例不执行保存。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扩展路径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字段列表：</w:t>
              <w:br/>
              <w:t>• 诊所：clinic_code、name、postal_address、supervisor_name、phone、email、area_sqm。</w:t>
              <w:br/>
              <w:t>• 牙医：employee_no、name、date_of_birth、home_address、phone、email。</w:t>
              <w:br/>
              <w:t>• 资格类别：code、name。</w:t>
              <w:br/>
              <w:t>• 控制字段：固定登记依据、操作者密码（不保存）、明确确认、受签名保护的当前上下文/操作编号/期限。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设计约束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本轮不提供既有身份信息纠错、目录编辑/删除/停用。新目录默认可用，仅表示当前基础记录，不等于完成入职认证；主管联络姓名也不构成账号授权。列表隐藏个人联系地址/出生日期，技术详情受限可读。本课程仅使用合成数据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追踪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BR-D01/02/03/05/06；AT-D01/02/04/05/06/07/08；目录字段来自既有registry模型。原验收目标的当前执行证据见第5章。</w:t>
            </w:r>
          </w:p>
        </w:tc>
      </w:tr>
    </w:tbl>
    <w:p>
      <w:pPr>
        <w:spacing w:after="0" w:line="20" w:lineRule="exact" w:before="0"/>
        <w:ind w:firstLine="0"/>
      </w:pPr>
      <w:r>
        <w:rPr>
          <w:rFonts w:ascii="Liberation Serif" w:hAnsi="Liberation Serif" w:eastAsia="Noto Serif CJK SC"/>
          <w:b w:val="0"/>
          <w:color w:val="000000"/>
          <w:sz w:val="2"/>
        </w:rPr>
      </w:r>
    </w:p>
    <w:p>
      <w:pPr>
        <w:pStyle w:val="Heading3"/>
      </w:pPr>
      <w:r>
        <w:rPr>
          <w:rFonts w:ascii="Liberation Serif" w:hAnsi="Liberation Serif" w:eastAsia="Noto Sans CJK SC"/>
          <w:b/>
          <w:color w:val="000000"/>
          <w:sz w:val="24"/>
        </w:rPr>
        <w:t>SU-28　维护牙医资格关联记录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表B-3 SU-28　维护牙医资格关联记录用例规约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标题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内容（SU-28）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用例名称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SU-28　维护牙医资格关联记录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主执行者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当前技术维护人员。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涉众利益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运营人员希望准确记录牙医的多项资格类别；牙医希望误关联能够纠正且历史不被删除；患者希望不能以目录操作自动决定诊疗安全或撤销已有安排。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触发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维护人员请求新增关联、撤回误关联或恢复原关联。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前置条件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当前技术身份有效；牙医与资格类别存在。是否可关联、是否停用和是否重复由本用例核验。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基本路径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1. 技术维护人员指定牙医和资格类别，说明拟登记、撤回或恢复，并提交相应依据。</w:t>
              <w:br/>
              <w:t>2. 系统核对当前记录及有效标志，反馈当前关联、拟进行动作和影响，生成状态预览；不保存。</w:t>
              <w:br/>
              <w:t>3. 技术维护人员核对员工编号、资格类别和动作，提供技术密码并明确确认。</w:t>
              <w:br/>
              <w:t>4. 系统再次核验权限、上下文、期限和关联快照；同步更新关联记录及审计。</w:t>
              <w:br/>
              <w:t>5. 系统反馈该牙医的当前关联列表，不替维护人员办理账号或接诊变更。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扩展路径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• 2a 已有有效关联：拒绝重复登记。</w:t>
              <w:br/>
              <w:t>• 2b 已有撤回记录：使用恢复依据，保留同一关联编号，不新建第二条关系。</w:t>
              <w:br/>
              <w:t>• 2c 牙医或资格类别已停用：拒绝新增/恢复；撤回现有误关联仍可按本用例核对。</w:t>
              <w:br/>
              <w:t>• 2d 关联不存在或已经撤回：拒绝再次撤回，不删除记录。</w:t>
              <w:br/>
              <w:t>• 4a 预览后任一相关状态已变化：拒绝旧预览；即使值改回原值，审计游标改变仍使旧预览失效。</w:t>
              <w:br/>
              <w:t>• 4b 密码、权限、签名、期限或只读模式不符：拒绝，不改变原关系。</w:t>
              <w:br/>
              <w:t>• 4c 同一成功操作重复确认：返回原操作的关联对象，不撤销其后的合法变更。</w:t>
              <w:br/>
              <w:t>• 4d 审计/保存失败：本次关系变化回滚；无法核对回执时反馈未知并指向查询入口。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成功后置条件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仅新增或改变所选DentistQualification当前有效标志，历史编号、原notes和原事件保留。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最低保证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不改变Patient、UserAccount、RoleAssignment、AvailabilitySlot、Visit、治疗或Invoice；不执行专业许可认证；不将缺失关联解释为无资格。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字段列表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dentist_id、qualification_id、attach/withdraw、依据类别、关联状态快照、操作编号、当前上下文及其修订、操作者密码和明确确认。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设计约束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模型没有资格有效期、核验机构、执业地点或医学适配规则。撤回“误关联”不同于撤销行政资格，也不同于安全封禁；账号封禁和业务交接仍使用各自受控流程。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追踪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BR-D01/03/04/05/06；AT-D03—08；原验收目标的当前执行证据见第5章。</w:t>
            </w:r>
          </w:p>
        </w:tc>
      </w:tr>
    </w:tbl>
    <w:p>
      <w:pPr>
        <w:spacing w:after="0" w:line="20" w:lineRule="exact" w:before="0"/>
        <w:ind w:firstLine="0"/>
      </w:pPr>
      <w:r>
        <w:rPr>
          <w:rFonts w:ascii="Liberation Serif" w:hAnsi="Liberation Serif" w:eastAsia="Noto Serif CJK SC"/>
          <w:b w:val="0"/>
          <w:color w:val="000000"/>
          <w:sz w:val="2"/>
        </w:rPr>
      </w:r>
    </w:p>
    <w:p>
      <w:pPr>
        <w:pStyle w:val="Heading3"/>
      </w:pPr>
      <w:r>
        <w:rPr>
          <w:rFonts w:ascii="Liberation Serif" w:hAnsi="Liberation Serif" w:eastAsia="Noto Sans CJK SC"/>
          <w:b/>
          <w:color w:val="000000"/>
          <w:sz w:val="24"/>
        </w:rPr>
        <w:t>SU-29　调整未来空闲出诊时间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表B-4 SU-29　调整未来空闲出诊时间用例规约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标题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内容（SU-29）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用例名称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SU-29　调整未来空闲出诊时间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主执行者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当前激活MANAGER且已选择诊所的诊所主管。无辅执行者或外部AI。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涉众利益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主管希望明确出诊安排和变更影响；患者希望既有预约或有效邀约不被暗中取消、改期；牙医希望历史出诊和接诊责任可核对；前台希望业务协调与排班维护职责分开。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触发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主管依据已核对的计划提出时间调整。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前置条件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会话有效，当前工作身份为主管且已选店。是否授权、是否空闲、是否尚未开始以及是否冲突由本用例检查，不把它们全部预设为已满足。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基本路径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1. 主管指定本店原出诊，请求查询安排及相关业务影响。</w:t>
              <w:br/>
              <w:t>2. 系统核对当前身份与范围，读取原时段、相关预约与邀约的必要事实，反馈时间、牙医、诊所、占用数和读取时点。</w:t>
              <w:br/>
              <w:t>3. 主管提供新的开始、结束和固定类别的依据，请求预览变更。</w:t>
              <w:br/>
              <w:t>4. 系统检查原记录及关联事实未在填写期间变化，原时段未开始且有效，没有阻止变更的业务，新时间在未来且不与同牙医其他有效出诊冲突；反馈新旧时间、历史保留方式及未发布草案影响。尚不保存。</w:t>
              <w:br/>
              <w:t>5. 主管核对影响，明确要求保存。</w:t>
              <w:br/>
              <w:t>6. 系统再次检查当前权限、上下文、确认期限、源对象与关联快照，并检查当下占用和时间条件。在同一事务中停用原时段、创建同店同牙医的新时段并记录两者关联及审计。</w:t>
              <w:br/>
              <w:t>7. 系统反馈原记录及其替代记录入口，供主管核对已保存事实。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扩展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• 2a 对象不存在、诊所不符、账号/角色/范围失效：拒绝，不暴露患者资料。</w:t>
              <w:br/>
              <w:t>• 2b 原时段已开始、已结束或已停用：拒绝本轮修改，保留历史。</w:t>
              <w:br/>
              <w:t>• 2c 有SCHEDULED、CHECKED_IN、COMPLETED或CLOSED_NO_TREATMENT记录：拒绝；未闭合业务由前台协调，已完成业务不能为排班调整而取消。</w:t>
              <w:br/>
              <w:t>• 2d 有PENDING且expires_at大于核验时点的邀约：拒绝，待患者决定或到期后重新核对。</w:t>
              <w:br/>
              <w:t>• 2e 记录关联不一致或任一关联集合超过1000条：不以部分结果认定空闲，提示受控核对。</w:t>
              <w:br/>
              <w:t>• 4a 开始不在未来、结束不晚于开始、包含秒/小数秒、新旧时间完全相同：指出问题，不生成可执行确认。</w:t>
              <w:br/>
              <w:t>• 4b 相同牙医在其他有效时段有重叠（包括跨店）：拒绝，不透露其他诊所患者信息。</w:t>
              <w:br/>
              <w:t>• 4c/6a 旧页面或旧快照：拒绝。即使相关事实后来又变回相同值，新增审计/关联记录仍使旧快照失效。</w:t>
              <w:br/>
              <w:t>• 5a 主管放弃：不保存。</w:t>
              <w:br/>
              <w:t>• 6b 预览之后有人预约或发布有效邀约：以本次锁定后事实为准，本次调整不执行。</w:t>
              <w:br/>
              <w:t>• 6c 同一成功操作在有效期和当前权限内重复提交：返回原结果，不再创建替代时段；不恢复此后又被合法停用的替代记录。</w:t>
              <w:br/>
              <w:t>• 6d 新时段并发冲突、保存或审计失败：回滚本次停用和新增，原有效安排保持。</w:t>
              <w:br/>
              <w:t>• 6e 网络回执不确定：先查询原时段与维护记录，不推断原操作失败，不自动重试。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成功后置条件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原时段is_active=False，但原编号、时间、诊所和牙医保持不变；新增同店同牙医的一条有效时段；维护事件将两者关联；未改动任何Visit、WaitOffer、WaitRequest、Patient、Invoice或账号授权记录。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最低保证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失败不留下“原时段已停用但替代时段缺失”的部分结果；历史记录不删除，已保存的既有业务不改变。重复请求不撤销先前成功结果。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字段列表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源出诊编号、新开始、新结束（北京时间、分钟精度）、固定依据类别、源快照令牌、预览确认令牌、当前工作上下文、操作编号、明确确认。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交互约束（不混入基本路径）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主管工作台→出诊安排→查看安排与影响→调整未来空闲时段→预览影响→确认出诊变更。大字模式、键盘及无脚本文本路径保留；新时间控件动态提示结束下限，但服务端始终复核；不会静默重写用户结束时间。</w:t>
            </w:r>
          </w:p>
        </w:tc>
      </w:tr>
    </w:tbl>
    <w:p>
      <w:pPr>
        <w:spacing w:after="0" w:line="20" w:lineRule="exact" w:before="0"/>
        <w:ind w:firstLine="0"/>
      </w:pPr>
      <w:r>
        <w:rPr>
          <w:rFonts w:ascii="Liberation Serif" w:hAnsi="Liberation Serif" w:eastAsia="Noto Serif CJK SC"/>
          <w:b w:val="0"/>
          <w:color w:val="000000"/>
          <w:sz w:val="2"/>
        </w:rPr>
      </w:r>
    </w:p>
    <w:p>
      <w:pPr>
        <w:pStyle w:val="Heading3"/>
      </w:pPr>
      <w:r>
        <w:rPr>
          <w:rFonts w:ascii="Liberation Serif" w:hAnsi="Liberation Serif" w:eastAsia="Noto Sans CJK SC"/>
          <w:b/>
          <w:color w:val="000000"/>
          <w:sz w:val="24"/>
        </w:rPr>
        <w:t>SU-30　停用未来空闲出诊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表B-5 SU-30　停用未来空闲出诊用例规约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标题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内容（SU-30）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用例名称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SU-30　停用未来空闲出诊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主执行者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当前店主管。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涉众利益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主管需要停止提供某条未来机会；患者不希望预约被无声删除；审计与运营需要保留原安排依据。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触发/前置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主管提出停止某条原时段；有效会话、当前主管身份与诊所已选择。空闲性、有效性和授权由系统核验。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基本路径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1. 主管指定原出诊并请求停用影响预览。</w:t>
              <w:br/>
              <w:t>2. 系统以与SU-29相同的权限、状态、未来时间、关联一致性与占用规则核对原记录。</w:t>
              <w:br/>
              <w:t>3. 系统反馈原安排、停用影响和已核对的依据；尚不保存。</w:t>
              <w:br/>
              <w:t>4. 主管明确要求保存。</w:t>
              <w:br/>
              <w:t>5. 系统重新核验预览、当前授权与占用，在同一事务中将原记录is_active置为False并记录审计。</w:t>
              <w:br/>
              <w:t>6. 系统反馈原记录当前状态和历史入口。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扩展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引用SU-29的授权、已开始/已停用、占用、旧页、上限、重复、失败和未知结果分支。停用不得携带新的开始/结束时间；不存在借停用动作更换牙医或诊所的分支。牙医资料已停用时，只要当前诊所授权仍有效且原出诊满足无占用/未开始条件，可以停用，但不能新建替代时段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成功后置条件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只停用原出诊并新增审计。旧编号和全部关联历史保留，没有新增替代时段、预约或邀约。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最低保证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校验失败或审计失败不使部分操作生效，不取消任何正式预约，不自动回收邀约，不删除原记录。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字段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源出诊编号、固定依据类别、状态/确认令牌、当前上下文、操作编号、明确确认。无新时间字段。</w:t>
            </w:r>
          </w:p>
        </w:tc>
      </w:tr>
    </w:tbl>
    <w:p>
      <w:pPr>
        <w:spacing w:after="0" w:line="20" w:lineRule="exact" w:before="0"/>
        <w:ind w:firstLine="0"/>
      </w:pPr>
      <w:r>
        <w:rPr>
          <w:rFonts w:ascii="Liberation Serif" w:hAnsi="Liberation Serif" w:eastAsia="Noto Serif CJK SC"/>
          <w:b w:val="0"/>
          <w:color w:val="000000"/>
          <w:sz w:val="2"/>
        </w:rPr>
      </w:r>
    </w:p>
    <w:p>
      <w:pPr>
        <w:pStyle w:val="Heading3"/>
      </w:pPr>
      <w:r>
        <w:rPr>
          <w:rFonts w:ascii="Liberation Serif" w:hAnsi="Liberation Serif" w:eastAsia="Noto Sans CJK SC"/>
          <w:b/>
          <w:color w:val="000000"/>
          <w:sz w:val="24"/>
        </w:rPr>
        <w:t>SU-31　按出诊核对关联业务并定位协调入口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表B-6 SU-31　按出诊核对关联业务并定位协调入口用例规约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标题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内容（SU-31）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用例名称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SU-31　按出诊核对关联业务并定位协调入口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主执行者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当前激活前台身份并选择了获授权诊所的前台人员。无辅执行者；不调用外部模型/通知平台。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涉众利益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前台希望准确定位一条出诊的关联承诺，不在全店列表反复搜索；主管希望得到可重新核对的出诊编号与事实，而不是未经验证的“已清空”；患者希望已有安排只按本人明确意思和原业务规则变更，个人资料不过度展开；牙医希望已到诊/完成记录不因排班清理被撤销；维护人员希望错误关联不会导致越权披露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触发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前台依据已核对的人工协调需求，指定本店出诊编号或浏览有关出诊。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前置条件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已登录且激活前台、已选择诊所。目标属于当前诊所、授权仍有效和资料完整性由本用例验证，不能预设“一定有待处理记录”或“已经允许停用”。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基本路径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1. 前台提供查询范围或明确出诊编号，请求查阅关联业务。</w:t>
              <w:br/>
              <w:t>2. 系统验证当前身份和诊所范围，反馈匹配的出诊及定位所需统计；列表不是维护批准。</w:t>
              <w:br/>
              <w:t>3. 前台指定一条出诊，请求核对其关联预约和邀约。</w:t>
              <w:br/>
              <w:t>4. 系统读取原计划及完整有界的关联事实，检查诊所/牙医/患者关联、已接受邀约与正式预约的一致性，并计算读取时点下的阻断说明。</w:t>
              <w:br/>
              <w:t>5. 系统反馈原出诊、牙医、时间、业务编号、分状态解释、读取时点、规则版本与原有授权办理入口。</w:t>
              <w:br/>
              <w:t>6. 前台在必要时另行发起原预约/邀约用例；本用例不代替患者作决定，也不办理任何取消、改期或接受。</w:t>
              <w:br/>
              <w:t>7. 前台在原办理返回后请求重新核对；系统重新读取，不根据刚才点击的按钮推测结果。若当前未发现阻断，反馈“可请主管重新核对”，主管维护仍另行核验。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扩展路径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• 2a/4a 当前角色错误、撤权、账号停用、诊所无权或上下文变化：拒绝，不借同一账号其他身份。</w:t>
              <w:br/>
              <w:t>• 2b 查询参数无效：反馈字段错误，不退化成返回全店/全链资料；明确编号查询允许包含历史。</w:t>
              <w:br/>
              <w:t>• 3a 目标不存在或属于他店：相同拒绝语义，不泄露该对象及患者详情。</w:t>
              <w:br/>
              <w:t>• 4b 关联计数超每类1000条上限或检测到关系不一致：反馈需要受控核对；不展开可疑患者编号和深链，不用部分结果判断可维护。</w:t>
              <w:br/>
              <w:t>• 4c 无关联业务：反馈当前未发现维护阻断；仍不是停用许可，查询后可出现新预约。</w:t>
              <w:br/>
              <w:t>• 4d 已有预约或未过期待确认邀约：逐条核对；仅提供原流程，不批量办理。</w:t>
              <w:br/>
              <w:t>• 4e 已到诊、治疗完成或无治疗关闭：作为受保护接诊说明，不提供快捷改期，不诱导为排班清空原记录。</w:t>
              <w:br/>
              <w:t>• 4f 待确认邀约到期但未回收：按服务器时间说明已不再有效；不自动改变其存储状态。</w:t>
              <w:br/>
              <w:t>• 4g 邀约已接受：核对直接关联预约及患者/时间一致性；不按旧确认截止将预约判作失效，不再计第二份保留。</w:t>
              <w:br/>
              <w:t>• 4h 原出诊已开始或停用：反馈当前状态及历史，不提供维护批准或恢复入口。</w:t>
              <w:br/>
              <w:t>• 4i 读取暂不可用：反馈本次结果未知，不推断前次写入失败，不自动重发。</w:t>
              <w:br/>
              <w:t>• 6a 改期产生直接后继：原预约详情提供同患者同诊所的直接前后继和合法来源回跳，不能用任意URL/外店编号绕过授权。</w:t>
              <w:br/>
              <w:t>• 7a 查询后又有新预约或其他变化：以新读取事实更新；原维护命令还须再次核验。</w:t>
              <w:br/>
              <w:t>• 全程只读实例：允许获授权GET查询；保留原业务写入限制，不因新页面开放额外POST例外。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成功后置条件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返回选定出诊在读取时点的受限关联投影及合法原业务入口；没有创建、更新、取消任何预约/邀约/候补/出诊/治疗/账单或授权，也没有发送通知或建立工单。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最低保证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无权或不完整查询不被当作“无待办”；读取失败不改变原记录、不自动重放业务命令；患者个人资料不因主管地位较高而扩大可见；结果仅代表本次读取，不保证后续仍空闲。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字段列表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输入为查询范围、出诊ID、页号；输出为出诊ID、诊所、牙医姓名及工号、原时间和状态、预约业务号/患者业务号、邀约与候补请求号、各自状态与起止/期限、关联预约ID、完整计数、读取时点、规则版本及受控内部入口。新列表不读取投影姓名、电话、地址、主诉、过敏或治疗正文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质量约束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窄屏和大字模式下主要动作可达；文字说明不能只依靠颜色；no-store防止浏览器重用旧响应，但不承诺清除用户此前已看见内容。两类关系各分页20项；判断不得只依据当前页。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交互约束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前台工作台→出诊协调→按出诊编号核对。相关原详情带“返回出诊 #编号”；既有独立页面入口仍可用。主管仅获取聚合影响和告知前台的原出诊编号，本功能没有给主管创建前台入口。</w:t>
            </w:r>
          </w:p>
        </w:tc>
      </w:tr>
    </w:tbl>
    <w:p>
      <w:pPr>
        <w:spacing w:after="0" w:line="20" w:lineRule="exact" w:before="0"/>
        <w:ind w:firstLine="0"/>
      </w:pPr>
      <w:r>
        <w:rPr>
          <w:rFonts w:ascii="Liberation Serif" w:hAnsi="Liberation Serif" w:eastAsia="Noto Serif CJK SC"/>
          <w:b w:val="0"/>
          <w:color w:val="000000"/>
          <w:sz w:val="2"/>
        </w:rPr>
      </w:r>
    </w:p>
    <w:p>
      <w:pPr>
        <w:pStyle w:val="Heading3"/>
      </w:pPr>
      <w:r>
        <w:rPr>
          <w:rFonts w:ascii="Liberation Serif" w:hAnsi="Liberation Serif" w:eastAsia="Noto Sans CJK SC"/>
          <w:b/>
          <w:color w:val="000000"/>
          <w:sz w:val="24"/>
        </w:rPr>
        <w:t>SU-32　暂停出诊新增接收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表B-7 SU-32　暂停出诊新增接收用例规约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标题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内容（SU-32）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用例名称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SU-32　暂停出诊新增接收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主执行者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当前激活MANAGER且已选择获授权诊所的主管。无AI辅执行者。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涉众利益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主管希望减少协调期间新增负担；患者希望原预约/有效邀约不被暗中撤销；牙医希望原安排与治疗责任不被改变；前台希望看到当前真实接收状态。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触发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主管依据已核对的协调需求或接待能力复核，请求暂停一条出诊的新增接收。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前置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会话有效、已选择主管身份和诊所。目标有效性、权限、是否结束、当前状态及冲突由本用例检查。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基本路径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1. 主管指定本店出诊，请求查询接收状态及关联承诺概况。</w:t>
              <w:br/>
              <w:t>2. 系统核验范围，读取原出诊、接收修订号、关联计数和历史游标，反馈目前状态。</w:t>
              <w:br/>
              <w:t>3. 主管提交暂停依据，请求预览。</w:t>
              <w:br/>
              <w:t>4. 系统核验状态一致，反馈拟暂停及保留已有预约/有效邀约的影响，尚不保存。</w:t>
              <w:br/>
              <w:t>5. 主管核对并明确确认。</w:t>
              <w:br/>
              <w:t>6. 系统重新核验当前授权、工作上下文、15分钟确认期限、锁定后的状态摘要及是否尚未结束；同事务更新暂停标志、递增接收修订号并保存审计。</w:t>
              <w:br/>
              <w:t>7. 系统反馈当前接收状态；前台另在自己的查询页面核对原承诺，按原流程办理。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扩展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• 2a 无权/跨店/旧上下文：拒绝，不展示患者资料。</w:t>
              <w:br/>
              <w:t>• 4a 已停用、已结束或已经暂停：拒绝重复/无效操作，不取消任何记录。</w:t>
              <w:br/>
              <w:t>• 4b 诊所/牙医资料已停用：仍可进一步暂停有效出诊新增，但不能恢复或创建新供给。</w:t>
              <w:br/>
              <w:t>• 5a 放弃预览：没有业务写入。</w:t>
              <w:br/>
              <w:t>• 6a 预览后出现预约、邀约、状态或审计变化：拒绝旧确认，要求重新核对。暂停→恢复同值仍有不同修订号。</w:t>
              <w:br/>
              <w:t>• 6b 同一已成功操作的有效重放：先核验权限，再返回原操作及当前状态，不重新暂停，不撤销后续恢复。</w:t>
              <w:br/>
              <w:t>• 6c 只读实例、保存或审计失败：不部分生效；不根据异常回执认定前一次也失败。</w:t>
              <w:br/>
              <w:t>• 6d 新预约先获取源行锁：按当时状态先保存，该承诺保留；暂停确认需重核变化。暂停先完成：后到的新创建被拒绝。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成功后置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源出诊booking_paused=true，intake_revision递增，存在审计；is_active、原起止、牙医/诊所、Visit/WaitOffer/WaitRequest/Invoice记录均不被本用例改写。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最低保证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失败不部分暂停；既有临床/财务/账号事实不改变；不生成通知或推断患者已被联系。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字段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slot_id、pause依据枚举、当前上下文、源状态签名、操作编号、确认签名、明确确认。审计无原始患者资料。</w:t>
            </w:r>
          </w:p>
        </w:tc>
      </w:tr>
    </w:tbl>
    <w:p>
      <w:pPr>
        <w:spacing w:after="0" w:line="20" w:lineRule="exact" w:before="0"/>
        <w:ind w:firstLine="0"/>
      </w:pPr>
      <w:r>
        <w:rPr>
          <w:rFonts w:ascii="Liberation Serif" w:hAnsi="Liberation Serif" w:eastAsia="Noto Serif CJK SC"/>
          <w:b w:val="0"/>
          <w:color w:val="000000"/>
          <w:sz w:val="2"/>
        </w:rPr>
      </w:r>
    </w:p>
    <w:p>
      <w:pPr>
        <w:pStyle w:val="Heading3"/>
      </w:pPr>
      <w:r>
        <w:rPr>
          <w:rFonts w:ascii="Liberation Serif" w:hAnsi="Liberation Serif" w:eastAsia="Noto Sans CJK SC"/>
          <w:b/>
          <w:color w:val="000000"/>
          <w:sz w:val="24"/>
        </w:rPr>
        <w:t>SU-33　恢复出诊新增接收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表B-8 SU-33　恢复出诊新增接收用例规约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标题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内容（SU-33）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用例名称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SU-33　恢复出诊新增接收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主执行者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当前店主管。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涉众利益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主管希望受控恢复供给；患者希望剩余机会真实且不会自动被登记；牙医希望仍按原排班和权限执行。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触发/前置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主管确认可以继续接收，指定已暂停、未结束的有效出诊。角色/范围同SU-32。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基本路径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读取状态→提供恢复依据→预览→主管明确确认→系统重新核对有效牙医/诊所、资料一致性和快照→同事务清除暂停标志、递增修订并审计→反馈。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扩展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已停用、已结束、从未暂停、资料异常/超核对上限、牙医或诊所停用、旧签名/撤权/只读/审计失败均不恢复。重复已成功确认只返回原结果，不撤销后来的再次暂停。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成功后置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booking_paused=false、修订递增；可以提供新的剩余机会，但不自动创建预约、邀约、排程建议或恢复历史取消。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最低保证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恢复不延长旧邀约期限、不重开已停用历史出诊、不新增授权、不调用AI。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字段（沿用SU-32）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出诊编号、恢复依据、当前上下文与修订、状态签名、操作编号、确认签名及明确确认。</w:t>
            </w:r>
          </w:p>
        </w:tc>
      </w:tr>
    </w:tbl>
    <w:p>
      <w:pPr>
        <w:spacing w:after="0" w:line="20" w:lineRule="exact" w:before="0"/>
        <w:ind w:firstLine="0"/>
      </w:pPr>
      <w:r>
        <w:rPr>
          <w:rFonts w:ascii="Liberation Serif" w:hAnsi="Liberation Serif" w:eastAsia="Noto Serif CJK SC"/>
          <w:b w:val="0"/>
          <w:color w:val="000000"/>
          <w:sz w:val="2"/>
        </w:rPr>
      </w:r>
    </w:p>
    <w:p>
      <w:pPr>
        <w:pStyle w:val="Heading3"/>
      </w:pPr>
      <w:r>
        <w:rPr>
          <w:rFonts w:ascii="Liberation Serif" w:hAnsi="Liberation Serif" w:eastAsia="Noto Sans CJK SC"/>
          <w:b/>
          <w:color w:val="000000"/>
          <w:sz w:val="24"/>
        </w:rPr>
        <w:t>SU-34　发起与管理出诊协调任务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表B-9 SU-34　发起与管理出诊协调任务用例规约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标题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内容（SU-34）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用例名称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SU-34　发起与管理出诊协调任务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主执行者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当前诊所主管。没有短信、外部AI等辅执行者。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涉众利益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主管希望协调计划有明确记录且不重复派出；前台希望目标、来源出诊和责任边界清楚；患者与牙医希望任务不偷偷改变服务承诺；维护人员希望保留撤销、交接和复核历史。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触发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主管对既有出诊提出时间调整或停用的协调需求。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前置条件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主管会话及当前诊所已选择；授权、源状态、暂停标志和重复任务由系统核验，而非全部假定成立。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基本路径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1. 主管指定原出诊，提交协调目标及固定类别依据，请求预览。</w:t>
              <w:br/>
              <w:t>2. 系统核验当前角色/诊所、源出诊尚未开始且有效、已明确暂停新增、关联资料完整且没有另一未结束任务，反馈拟创建任务。已有预约或有效邀约不阻止发起，但必须保留。</w:t>
              <w:br/>
              <w:t>3. 主管明确确认。</w:t>
              <w:br/>
              <w:t>4. 系统在锁定源出诊后重新核验状态、授权、确认期限和当前事实，同事务创建待受理任务与审计。</w:t>
              <w:br/>
              <w:t>5. 系统反馈任务编号；任务不会自动受理或触发任何患者业务。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扩展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• 2a 原出诊未暂停：提示先通过SU-32办理，不隐式暂停。</w:t>
              <w:br/>
              <w:t>• 2b 源已开始/停用、存在关联异常、超过完整上限：不创建普通任务，交由受控流程处理。</w:t>
              <w:br/>
              <w:t>• 2c 已有未结束任务：提示查询原任务，不以新编号绕过。</w:t>
              <w:br/>
              <w:t>• 3a 放弃预览：不创建。</w:t>
              <w:br/>
              <w:t>• 4a 旧上下文、摘要变化、过期/篡改、撤权、只读模式：不写入。</w:t>
              <w:br/>
              <w:t>• 4b 并发重复发起：源行锁与部分唯一约束保护一条活动任务；失败不覆盖原任务。</w:t>
              <w:br/>
              <w:t>• 4c 相同成功确认重放：重新核验当前权限后返回原任务当前状态，不重开或重复创建。</w:t>
              <w:br/>
              <w:t>• 4d 保存/审计异常：本次同事务回滚；回执未知先按原出诊查任务。</w:t>
              <w:br/>
              <w:t>• 管理分支：主管可对处理中/待复核任务说明退回依据，将其重置为待受理并清除当前受理/提交标记；旧办理事件保留。不能代另一个账号受理。</w:t>
              <w:br/>
              <w:t>• 撤销分支：主管可撤销未结束任务，保留历史，不暂停/恢复出诊、不取消患者业务。源已失效时仍可核对并撤销任务，但不能借此宣称正常维护完成。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成功后置条件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一条待受理任务存在；或一次明确的退回/撤销及相应事件已保存。既有源出诊、预约、邀约、临床与财务事实不改变。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最低保证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失败不留半次任务变更；原记录、原承诺和暂停标志保持；旧成功请求不撤销后续合法状态。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字段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source slot ID；目的DEACTIVATE/REPLACE；固定依据；签名状态/确认；当前上下文；操作编号；明确确认。没有任意受理人ID、患者资料或自由文本。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RC共享通知规则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成功任务变化、审计和NotificationOutbox同一事务保存；不向患者发送信息，派发失败不重新执行任务。</w:t>
            </w:r>
          </w:p>
        </w:tc>
      </w:tr>
    </w:tbl>
    <w:p>
      <w:pPr>
        <w:spacing w:after="0" w:line="20" w:lineRule="exact" w:before="0"/>
        <w:ind w:firstLine="0"/>
      </w:pPr>
      <w:r>
        <w:rPr>
          <w:rFonts w:ascii="Liberation Serif" w:hAnsi="Liberation Serif" w:eastAsia="Noto Serif CJK SC"/>
          <w:b w:val="0"/>
          <w:color w:val="000000"/>
          <w:sz w:val="2"/>
        </w:rPr>
      </w:r>
    </w:p>
    <w:p>
      <w:pPr>
        <w:pStyle w:val="Heading3"/>
      </w:pPr>
      <w:r>
        <w:rPr>
          <w:rFonts w:ascii="Liberation Serif" w:hAnsi="Liberation Serif" w:eastAsia="Noto Sans CJK SC"/>
          <w:b/>
          <w:color w:val="000000"/>
          <w:sz w:val="24"/>
        </w:rPr>
        <w:t>SU-35　受理并记录出诊协调办理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表B-10 SU-35　受理并记录出诊协调办理用例规约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标题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内容（SU-35）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用例名称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SU-35　受理并记录出诊协调办理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主执行者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当前诊所前台。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涉众利益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前台希望明确谁负责当前跟进，能够必要交接；患者希望自身意思仍通过原业务流程确认；主管希望区分联络声明和已保存业务事实。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触发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前台选择待受理任务，或继续本人已受理任务。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基本路径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1. 前台查询本店任务，选择准确原出诊。</w:t>
              <w:br/>
              <w:t>2. 系统核对任务尚未受理，反馈由当前账号受理的影响。</w:t>
              <w:br/>
              <w:t>3. 前台明确确认；系统再次核对任务修订并保存本人受理责任及审计。</w:t>
              <w:br/>
              <w:t>4. 前台通过SU-31定位关联记录，另在原预约/邀约用例办理；任务服务不代办这些动作。</w:t>
              <w:br/>
              <w:t>5. 前台指定本出诊的一条预约/邀约，选择尝试联络、等待患者决定、转原流程办理等有限声明，请求预览并明确确认。需要主管协助可以不指定个人对象。</w:t>
              <w:br/>
              <w:t>6. 系统核对当前受理人、对象属于该出诊、快照及期限，保存声明事件并推进任务修订，不改变预约状态。</w:t>
              <w:br/>
              <w:t>7. 前台认为可提交时发起复核请求；系统重新核对完整有界关联无阻断、源仍未来有效且暂停，再经明确确认将任务转为待主管复核并记录当时的业务事实摘要。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扩展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• 别的前台已受理：不能覆盖；只允许当前受理人记录、退回或提交。</w:t>
              <w:br/>
              <w:t>• 无法继续：受理人可明确退回待受理队列；账号停用/撤权后不得自行继续，主管仍可按SU-34退回任务，其他合法前台自行受理。</w:t>
              <w:br/>
              <w:t>• 声明对象无关/不存在，或关联异常/超限：不附加声明；错误反馈不透露另一患者存在与否。</w:t>
              <w:br/>
              <w:t>• 声明类别不是患者同意或办理成功证明：系统不据此清除实际阻断。</w:t>
              <w:br/>
              <w:t>• 有受保护预约/接诊或有效邀约：不能提交复核。旧邀约到期后未回收不再占位，但仍保留历史；接受后的预约按真实预约事实核对。</w:t>
              <w:br/>
              <w:t>• 原出诊恢复接收/开始/停用：不能提交普通维护复核，主管需再核对或转其他流程。</w:t>
              <w:br/>
              <w:t>• 旧页、ABA、并发受理、重复确认、只读、审计异常：遵循签名/修订/锁/事务规则，不产生第二受理人或半次状态。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成功后置条件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当前受理人明确；或有一条附明确对象的操作者声明；或任务转为待复核且提交人/时点/摘要一致。上述不等于患者已同意，也不证明某次原业务已经成功。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最低保证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失败不改变责任；不自动处置预约/邀约、不通知患者，不开放其他角色权限。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字段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任务/出诊ID；操作依据枚举；声明对象类别与记录ID（不得填姓名电话）；状态/确认令牌；操作编号；当前上下文与明确确认。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RC共享通知规则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成功任务变化、审计和NotificationOutbox同一事务保存；不向患者发送信息，派发失败不重新执行任务。</w:t>
            </w:r>
          </w:p>
        </w:tc>
      </w:tr>
    </w:tbl>
    <w:p>
      <w:pPr>
        <w:spacing w:after="0" w:line="20" w:lineRule="exact" w:before="0"/>
        <w:ind w:firstLine="0"/>
      </w:pPr>
      <w:r>
        <w:rPr>
          <w:rFonts w:ascii="Liberation Serif" w:hAnsi="Liberation Serif" w:eastAsia="Noto Serif CJK SC"/>
          <w:b w:val="0"/>
          <w:color w:val="000000"/>
          <w:sz w:val="2"/>
        </w:rPr>
      </w:r>
    </w:p>
    <w:p>
      <w:pPr>
        <w:pStyle w:val="Heading3"/>
      </w:pPr>
      <w:r>
        <w:rPr>
          <w:rFonts w:ascii="Liberation Serif" w:hAnsi="Liberation Serif" w:eastAsia="Noto Sans CJK SC"/>
          <w:b/>
          <w:color w:val="000000"/>
          <w:sz w:val="24"/>
        </w:rPr>
        <w:t>SU-36　复核出诊协调结果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表B-11 SU-36　复核出诊协调结果用例规约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标题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内容（SU-36）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用例名称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SU-36　复核出诊协调结果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主执行者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当前诊所主管，必须与本次提交复核的前台为不同账号。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涉众利益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主管希望根据真实结果而非勾选进度判断；前台希望结果可追踪；患者希望已有承诺和临床记录不为结案被错误删除；系统维护人员希望失败可以恢复且不自批。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基本路径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1. 主管查询待复核任务，核对原出诊、目标、受理人和提交时点。</w:t>
              <w:br/>
              <w:t>2. 系统核对独立账号、当前源状态和完整有界关联；确认原出诊仍未来有效且暂停，没有保护业务/有效邀约/异常/截断，且相关事实摘要仍与前台提交时一致。</w:t>
              <w:br/>
              <w:t>3. 系统反馈本次可通过的依据，明确不自动维护出诊。</w:t>
              <w:br/>
              <w:t>4. 主管明确确认。</w:t>
              <w:br/>
              <w:t>5. 系统重新锁定、核验状态/权限/快照/时间条件，同事务将任务标为协调核对通过并保存独立复核人、时点和审计。</w:t>
              <w:br/>
              <w:t>6. 系统提供回到原主管出诊的入口；SU-29/30维护或SU-33恢复由主管另行独立办理并重验。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扩展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• 未由前台提交或同账号切身份自批：拒绝。</w:t>
              <w:br/>
              <w:t>• 提交后关联记录、接收修订或源维护历史变化：拒绝通过，主管退回重新核对；即使又变回同样状态也不能复活旧结果。</w:t>
              <w:br/>
              <w:t>• 查到受保护接诊或源已开始：不得为结案虚假取消、爽约或删除，转专门受控流程。</w:t>
              <w:br/>
              <w:t>• 条件不满足：主管按SU-34退回或撤销；不能跳过检查强制通过。</w:t>
              <w:br/>
              <w:t>• 保存/审计失败：任务仍为原状态；重复成功确认不反复结案或取消后续合法维护。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成功后置条件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协调任务结束，保留复核责任与历史，不新增预约、不改邀约、不改出诊接收标志。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最低保证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 xml:space="preserve"> 未满足真实条件不得写成功标记；任务结束不是对以后状态的永久保证，也不是停诊指令或临床许可。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字段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任务／源出诊编号、复核依据、提交事实摘要、状态与确认令牌、操作编号、当前上下文和明确确认。通过前后都须检查主管与提交人不是同一账号。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RC共享通知规则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成功任务变化、审计和NotificationOutbox同一事务保存；不向患者发送信息，派发失败不重新执行任务。</w:t>
            </w:r>
          </w:p>
        </w:tc>
      </w:tr>
    </w:tbl>
    <w:p>
      <w:pPr>
        <w:spacing w:after="0" w:line="20" w:lineRule="exact" w:before="0"/>
        <w:ind w:firstLine="0"/>
      </w:pPr>
      <w:r>
        <w:rPr>
          <w:rFonts w:ascii="Liberation Serif" w:hAnsi="Liberation Serif" w:eastAsia="Noto Serif CJK SC"/>
          <w:b w:val="0"/>
          <w:color w:val="000000"/>
          <w:sz w:val="2"/>
        </w:rPr>
      </w:r>
    </w:p>
    <w:p>
      <w:pPr>
        <w:pStyle w:val="Heading3"/>
      </w:pPr>
      <w:r>
        <w:rPr>
          <w:rFonts w:ascii="Liberation Serif" w:hAnsi="Liberation Serif" w:eastAsia="Noto Sans CJK SC"/>
          <w:b/>
          <w:color w:val="000000"/>
          <w:sz w:val="24"/>
        </w:rPr>
        <w:t>SU-37　查阅本人任务消息并标记已读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表B-12 SU-37　查阅本人任务消息并标记已读用例规约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标题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内容（SU-37）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用例名称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SU-37　查阅本人任务消息并标记已读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主执行者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当前本店前台或主管。无外部消息服务、AI或患者作为辅执行者。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涉众利益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前台希望知道新协调任务与退回；主管希望知道受理、声明和提交复核；患者希望通知不泄露个人/临床数据，不暗含其同意；原业务各方希望浏览通知不修改服务承诺。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触发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执行者查询站内收件箱，或对一条消息明确请求标记已读。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前置条件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有有效会话且激活相应身份和诊所。权限、消息归属、授权是否撤回由系统检查，不预设合法。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基本路径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1. 执行者提交消息范围及页码，请求查阅本人当前工作范围的消息。</w:t>
              <w:br/>
              <w:t>2. 系统核验账号、当前身份、诊所及原始收件授权与当前授权，反馈有界分页消息。</w:t>
              <w:br/>
              <w:t>3. 系统区分事件发生时状态、派发时点、当前查询任务状态及已读标记，反馈原任务查询入口。</w:t>
              <w:br/>
              <w:t>4. 执行者需要时另行请求对指定本人消息标记已读。</w:t>
              <w:br/>
              <w:t>5. 系统重新核验当前权限、工作上下文和归属，保存首次已读时间，并反馈该标记不构成受理/同意/完成。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扩展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2a没有符合条件消息：反馈空结果，但不认定没有任务；2b查询失败：反馈未知并保留原任务入口；2c其他患者或岗位未纳入本版消息：不扩大角色；3a任务有后续变化：以当前任务页为准；4a用户只浏览：不写已读；5a旧上下文/撤权/其他账号消息/其他店：拒绝；5b重复标记：保留第一次时间；5c只读实例：不保存标记；5d保存失败：不伪称成功，不重做原任务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成功后置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只读查询不改消息及业务；明确标记仅改变本人该条消息read_at。最低保证：任务、出诊、Visit、WaitOffer、治疗、Invoice保持原值，无自动受理或患者同意。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字段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mode(unread/all)、page、message_id、工作上下文令牌；查询返回task_id、slot_id、动作标题、历史状态/修订、当前状态/修订、发生/派发/首次标记时点。无姓名、电话、病例、自由文本或外部URL。</w:t>
            </w:r>
          </w:p>
        </w:tc>
      </w:tr>
    </w:tbl>
    <w:p>
      <w:pPr>
        <w:spacing w:after="0" w:line="20" w:lineRule="exact" w:before="0"/>
        <w:ind w:firstLine="0"/>
      </w:pPr>
      <w:r>
        <w:rPr>
          <w:rFonts w:ascii="Liberation Serif" w:hAnsi="Liberation Serif" w:eastAsia="Noto Serif CJK SC"/>
          <w:b w:val="0"/>
          <w:color w:val="000000"/>
          <w:sz w:val="2"/>
        </w:rPr>
      </w:r>
    </w:p>
    <w:p>
      <w:pPr>
        <w:pStyle w:val="Heading3"/>
      </w:pPr>
      <w:r>
        <w:rPr>
          <w:rFonts w:ascii="Liberation Serif" w:hAnsi="Liberation Serif" w:eastAsia="Noto Sans CJK SC"/>
          <w:b/>
          <w:color w:val="000000"/>
          <w:sz w:val="24"/>
        </w:rPr>
        <w:t>SU-38　核对本店通知派发并请求重试</w:t>
      </w:r>
    </w:p>
    <w:p>
      <w:pPr>
        <w:keepNext/>
        <w:spacing w:after="0"/>
        <w:ind w:firstLine="0"/>
        <w:jc w:val="center"/>
      </w:pPr>
      <w:r>
        <w:rPr>
          <w:rFonts w:ascii="Liberation Serif" w:hAnsi="Liberation Serif" w:eastAsia="Noto Serif CJK SC"/>
          <w:b w:val="0"/>
          <w:color w:val="000000"/>
          <w:sz w:val="21"/>
        </w:rPr>
        <w:t>表B-13 SU-38　核对本店通知派发并请求重试用例规约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rPr>
          <w:cantSplit/>
          <w:tblHeader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标题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  <w:shd w:fill="F2F2F2"/>
          </w:tcPr>
          <w:p>
            <w:pPr>
              <w:keepNext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/>
                <w:color w:val="000000"/>
                <w:sz w:val="21"/>
              </w:rPr>
              <w:t>内容（SU-38）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用例名称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SU-38　核对本店通知派发并请求重试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主执行者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当前本店主管；后台worker是内部实现机制，不是主管身份的替代者。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涉众利益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主管希望发现等待或失败，不因通知失败误判任务失败；维护人员需要受控重试和不泄露敏感数据的错误信息；其他使用者不希望重试重复生成消息或业务动作。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触发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主管查询当前店通知处理情况，必要时重排失败事件。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前置条件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有效主管工作上下文，具体事件权限、状态和轮次由系统检查。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基本路径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1. 主管请求本店派发情况。</w:t>
              <w:br/>
              <w:t>2. 系统反馈待派发、已生成、无符合条件收件人、失败状态及发生/处理时间；不暴露其他人的个人消息或明细收件名单。</w:t>
              <w:br/>
              <w:t>3. 主管对一条失败事件核对原因，明确请求只重试通知。</w:t>
              <w:br/>
              <w:t>4. 系统重新核验当前诊所、权限、只读策略和重试轮次，将原事件重排并保存审计。</w:t>
              <w:br/>
              <w:t>5. 后台另行按原收件范围及当前授权有界重试，主管以后查询实际结果。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扩展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2a暂时读取失败：结果未知，不自动重发；3a空收件或失效授权：不通过重试创造新权限/新收件人；4a已处理/已经重排/旧轮次：拒绝第二次重置；4b其他店、前台身份、旧页面、未确认或只读：拒绝；4c审计失败：回滚重排；5a后台未运行：仍PENDING，不虚构成功；5b失败：退避到最多5次后FAILED；5c部分原授权失效：跳过并记录聚合数量，不向新授权补发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成功后置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仅通知处理记录与审计变化。最低保证：重试不重新创建任务、取消/改期预约、接受邀约或释放资源；此前成功的消息行不重复。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字段</w:t>
            </w:r>
          </w:p>
        </w:tc>
        <w:tc>
          <w:tcPr>
            <w:tcW w:type="dxa" w:w="7370"/>
            <w:vAlign w:val="center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keepNext w:val="0"/>
              <w:spacing w:line="310" w:lineRule="exact" w:after="0"/>
              <w:ind w:firstLine="0"/>
            </w:pPr>
            <w:r>
              <w:rPr>
                <w:rFonts w:ascii="Liberation Serif" w:hAnsi="Liberation Serif" w:eastAsia="Noto Serif CJK SC"/>
                <w:b w:val="0"/>
                <w:color w:val="000000"/>
                <w:sz w:val="21"/>
              </w:rPr>
              <w:t>event_id、expected_round、明确确认及工作上下文令牌。事件和收件快照不可在本入口修改。</w:t>
            </w:r>
          </w:p>
        </w:tc>
      </w:tr>
    </w:tbl>
    <w:p>
      <w:pPr>
        <w:spacing w:after="0" w:line="20" w:lineRule="exact" w:before="0"/>
        <w:ind w:firstLine="0"/>
      </w:pPr>
      <w:r>
        <w:rPr>
          <w:rFonts w:ascii="Liberation Serif" w:hAnsi="Liberation Serif" w:eastAsia="Noto Serif CJK SC"/>
          <w:b w:val="0"/>
          <w:color w:val="000000"/>
          <w:sz w:val="2"/>
        </w:rPr>
      </w:r>
    </w:p>
    <w:sectPr w:rsidR="00FC693F" w:rsidRPr="0006063C" w:rsidSect="00034616">
      <w:headerReference w:type="default" r:id="rId58"/>
      <w:footerReference w:type="default" r:id="rId59"/>
      <w:pgSz w:w="11906" w:h="16838"/>
      <w:pgMar w:top="1417" w:right="1134" w:bottom="1304" w:left="1701" w:header="737" w:footer="680" w:gutter="0"/>
      <w:cols w:space="720"/>
      <w:docGrid w:linePitch="360"/>
      <w:pgNumType w:start="1" w:fmt="decima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textAlignment w:val="baseline"/>
      <w:kinsoku w:val="1"/>
      <w:snapToGrid w:val="0"/>
    </w:pPr>
    <w:fldSimple w:instr="PAGE">
      <w: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textAlignment w:val="baseline"/>
      <w:kinsoku w:val="1"/>
      <w:snapToGrid w:val="0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extAlignment w:val="baseline"/>
      <w:kinsoku w:val="1"/>
      <w:snapToGrid w:val="0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fldSimple w:instr="PAGE"/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Liberation Serif" w:hAnsi="Liberation Serif" w:eastAsia="Noto Serif CJK SC"/>
        <w:color w:val="000000"/>
        <w:sz w:val="18"/>
      </w:rPr>
      <w:t xml:space="preserve">第 </w:t>
    </w:r>
    <w:fldSimple w:instr="PAGE"/>
    <w:r>
      <w:rPr>
        <w:rFonts w:ascii="Liberation Serif" w:hAnsi="Liberation Serif" w:eastAsia="Noto Serif CJK SC"/>
        <w:color w:val="00000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jc w:val="center"/>
      <w:pBdr>
        <w:bottom w:val="single" w:sz="4"/>
      </w:pBdr>
      <w:textAlignment w:val="baseline"/>
      <w:kinsoku w:val="1"/>
      <w:snapToGrid w:val="0"/>
    </w:pPr>
    <w:r>
      <w:rPr>
        <w:rFonts w:ascii="Times New Roman" w:hAnsi="Times New Roman" w:eastAsia="Noto Sans CJK SC"/>
        <w:sz w:val="18"/>
      </w:rPr>
      <w:t>ADC牙科连锁运营管理系统　课程报告 · RC1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jc w:val="center"/>
      <w:pBdr>
        <w:bottom w:val="single" w:sz="4"/>
      </w:pBdr>
      <w:textAlignment w:val="baseline"/>
      <w:kinsoku w:val="1"/>
      <w:snapToGrid w:val="0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extAlignment w:val="baseline"/>
      <w:kinsoku w:val="1"/>
      <w:snapToGrid w:val="0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071" w:val="right"/>
      </w:tabs>
      <w:ind w:firstLine="0"/>
      <w:pBdr>
        <w:bottom w:val="single" w:sz="4" w:space="6"/>
      </w:pBdr>
    </w:pPr>
    <w:r>
      <w:rPr>
        <w:rFonts w:ascii="Liberation Serif" w:hAnsi="Liberation Serif" w:eastAsia="Noto Serif CJK SC"/>
        <w:color w:val="000000"/>
        <w:sz w:val="18"/>
      </w:rPr>
      <w:t>中南大学 · 系统分析与设计</w:t>
      <w:tab/>
      <w:t>ADC 牙科连锁运营管理系统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071" w:val="right"/>
      </w:tabs>
      <w:ind w:firstLine="0"/>
      <w:pBdr>
        <w:bottom w:val="single" w:sz="4" w:space="6"/>
      </w:pBdr>
    </w:pPr>
    <w:r>
      <w:rPr>
        <w:rFonts w:ascii="Liberation Serif" w:hAnsi="Liberation Serif" w:eastAsia="Noto Serif CJK SC"/>
        <w:color w:val="000000"/>
        <w:sz w:val="18"/>
      </w:rPr>
      <w:t>中南大学 · 系统分析与设计</w:t>
      <w:tab/>
      <w:t>ADC 牙科连锁运营管理系统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Noto Serif CJK SC" w:hAnsi="Noto Serif CJK SC" w:eastAsia="Noto Serif CJK SC" w:cs="Noto Serif CJK SC"/>
        <w:sz w:val="22"/>
        <w:szCs w:val="22"/>
        <w:lang w:val="zh-CN" w:eastAsia="zh-CN" w:bidi="ar-SA"/>
      </w:rPr>
    </w:rPrDefault>
    <w:pPrDefault>
      <w:pPr>
        <w:spacing w:after="200" w:line="276" w:lineRule="auto"/>
        <w:textAlignment w:val="baseline"/>
        <w:kinsoku w:val="1"/>
        <w:snapToGrid w:val="0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40" w:lineRule="exact" w:after="0" w:before="0"/>
      <w:ind w:firstLine="480"/>
      <w:textAlignment w:val="baseline"/>
      <w:widowControl/>
      <w:kinsoku w:val="1"/>
      <w:snapToGrid w:val="0"/>
    </w:pPr>
    <w:rPr>
      <w:rFonts w:ascii="Liberation Serif" w:hAnsi="Liberation Serif" w:eastAsia="Noto Serif CJK SC" w:cs="Noto Serif CJK SC"/>
      <w:b w:val="0"/>
      <w:color w:val="000000"/>
      <w:sz w:val="24"/>
      <w:lang w:val="zh-CN" w:eastAsia="zh-C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textAlignment w:val="baseline"/>
      <w:kinsoku w:val="1"/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textAlignment w:val="baseline"/>
      <w:kinsoku w:val="1"/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 w:line="300" w:lineRule="auto"/>
      <w:outlineLvl w:val="0"/>
      <w:ind w:firstLine="0"/>
      <w:jc w:val="center"/>
      <w:textAlignment w:val="baseline"/>
      <w:pageBreakBefore w:val="0"/>
      <w:kinsoku w:val="1"/>
      <w:snapToGrid w:val="0"/>
    </w:pPr>
    <w:rPr>
      <w:rFonts w:ascii="Liberation Serif" w:hAnsi="Liberation Serif" w:eastAsia="Noto Sans CJK SC" w:cs="Noto Sans CJK SC"/>
      <w:b/>
      <w:bCs/>
      <w:color w:val="000000"/>
      <w:sz w:val="32"/>
      <w:szCs w:val="28"/>
      <w:lang w:val="zh-CN" w:eastAsia="zh-C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 w:line="300" w:lineRule="auto"/>
      <w:outlineLvl w:val="1"/>
      <w:ind w:firstLine="0"/>
      <w:textAlignment w:val="baseline"/>
      <w:pageBreakBefore w:val="0"/>
      <w:kinsoku w:val="1"/>
      <w:snapToGrid w:val="0"/>
    </w:pPr>
    <w:rPr>
      <w:rFonts w:ascii="Liberation Serif" w:hAnsi="Liberation Serif" w:eastAsia="Noto Sans CJK SC" w:cs="Noto Sans CJK SC"/>
      <w:b/>
      <w:bCs/>
      <w:color w:val="000000"/>
      <w:sz w:val="28"/>
      <w:szCs w:val="26"/>
      <w:lang w:val="zh-CN" w:eastAsia="zh-C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 w:line="300" w:lineRule="auto"/>
      <w:outlineLvl w:val="2"/>
      <w:ind w:firstLine="0"/>
      <w:textAlignment w:val="baseline"/>
      <w:pageBreakBefore w:val="0"/>
      <w:kinsoku w:val="1"/>
      <w:snapToGrid w:val="0"/>
    </w:pPr>
    <w:rPr>
      <w:rFonts w:ascii="Liberation Serif" w:hAnsi="Liberation Serif" w:eastAsia="Noto Sans CJK SC" w:cs="Noto Sans CJK SC"/>
      <w:b/>
      <w:bCs/>
      <w:color w:val="000000"/>
      <w:sz w:val="24"/>
      <w:lang w:val="zh-CN" w:eastAsia="zh-C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textAlignment w:val="baseline"/>
      <w:kinsoku w:val="1"/>
      <w:snapToGrid w:val="0"/>
    </w:pPr>
    <w:rPr>
      <w:rFonts w:ascii="Noto Serif CJK SC" w:hAnsi="Noto Serif CJK SC" w:eastAsia="Noto Serif CJK SC" w:cs="Noto Serif CJK SC"/>
      <w:b/>
      <w:bCs/>
      <w:i/>
      <w:iCs/>
      <w:color w:val="4F81BD" w:themeColor="accent1"/>
      <w:lang w:val="zh-CN" w:eastAsia="zh-C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243F60" w:themeColor="accent1" w:themeShade="7F"/>
      <w:lang w:val="zh-CN" w:eastAsia="zh-C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textAlignment w:val="baseline"/>
      <w:kinsoku w:val="1"/>
      <w:snapToGrid w:val="0"/>
    </w:pPr>
    <w:rPr>
      <w:rFonts w:ascii="Noto Serif CJK SC" w:hAnsi="Noto Serif CJK SC" w:eastAsia="Noto Serif CJK SC" w:cs="Noto Serif CJK SC"/>
      <w:i/>
      <w:iCs/>
      <w:color w:val="243F60" w:themeColor="accent1" w:themeShade="7F"/>
      <w:lang w:val="zh-CN" w:eastAsia="zh-C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textAlignment w:val="baseline"/>
      <w:kinsoku w:val="1"/>
      <w:snapToGrid w:val="0"/>
    </w:pPr>
    <w:rPr>
      <w:rFonts w:ascii="Noto Serif CJK SC" w:hAnsi="Noto Serif CJK SC" w:eastAsia="Noto Serif CJK SC" w:cs="Noto Serif CJK SC"/>
      <w:i/>
      <w:iCs/>
      <w:color w:val="404040" w:themeColor="text1" w:themeTint="BF"/>
      <w:lang w:val="zh-CN" w:eastAsia="zh-C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4F81BD" w:themeColor="accent1"/>
      <w:sz w:val="20"/>
      <w:szCs w:val="20"/>
      <w:lang w:val="zh-CN" w:eastAsia="zh-C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textAlignment w:val="baseline"/>
      <w:kinsoku w:val="1"/>
      <w:snapToGrid w:val="0"/>
    </w:pPr>
    <w:rPr>
      <w:rFonts w:ascii="Noto Serif CJK SC" w:hAnsi="Noto Serif CJK SC" w:eastAsia="Noto Serif CJK SC" w:cs="Noto Serif CJK SC"/>
      <w:i/>
      <w:iCs/>
      <w:color w:val="404040" w:themeColor="text1" w:themeTint="BF"/>
      <w:sz w:val="20"/>
      <w:szCs w:val="20"/>
      <w:lang w:val="zh-CN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textAlignment w:val="baseline"/>
      <w:kinsoku w:val="1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Noto Serif CJK SC" w:hAnsi="Noto Serif CJK SC" w:eastAsia="Noto Serif CJK SC" w:cs="Noto Serif CJK SC"/>
      <w:b/>
      <w:bCs/>
      <w:color w:val="365F91" w:themeColor="accent1" w:themeShade="BF"/>
      <w:sz w:val="28"/>
      <w:szCs w:val="28"/>
      <w:lang w:val="zh-CN"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Noto Serif CJK SC" w:hAnsi="Noto Serif CJK SC" w:eastAsia="Noto Serif CJK SC" w:cs="Noto Serif CJK SC"/>
      <w:b/>
      <w:bCs/>
      <w:color w:val="4F81BD" w:themeColor="accent1"/>
      <w:sz w:val="26"/>
      <w:szCs w:val="26"/>
      <w:lang w:val="zh-CN" w:eastAsia="zh-CN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Noto Serif CJK SC" w:hAnsi="Noto Serif CJK SC" w:eastAsia="Noto Serif CJK SC" w:cs="Noto Serif CJK SC"/>
      <w:b/>
      <w:bCs/>
      <w:color w:val="4F81BD" w:themeColor="accent1"/>
      <w:lang w:val="zh-CN" w:eastAsia="zh-CN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  <w:textAlignment w:val="baseline"/>
      <w:kinsoku w:val="1"/>
      <w:snapToGrid w:val="0"/>
    </w:pPr>
    <w:rPr>
      <w:rFonts w:ascii="Liberation Serif" w:hAnsi="Liberation Serif" w:eastAsia="Noto Serif CJK SC" w:cs="Noto Serif CJK SC"/>
      <w:b/>
      <w:color w:val="000000"/>
      <w:kern w:val="28"/>
      <w:sz w:val="44"/>
      <w:szCs w:val="52"/>
      <w:lang w:val="zh-CN" w:eastAsia="zh-C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Noto Serif CJK SC" w:hAnsi="Noto Serif CJK SC" w:eastAsia="Noto Serif CJK SC" w:cs="Noto Serif CJK SC"/>
      <w:color w:val="17365D" w:themeColor="text2" w:themeShade="BF"/>
      <w:kern w:val="28"/>
      <w:sz w:val="52"/>
      <w:szCs w:val="52"/>
      <w:lang w:val="zh-CN" w:eastAsia="zh-CN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textAlignment w:val="baseline"/>
      <w:kinsoku w:val="1"/>
      <w:snapToGrid w:val="0"/>
    </w:pPr>
    <w:rPr>
      <w:rFonts w:ascii="Liberation Serif" w:hAnsi="Liberation Serif" w:eastAsia="Noto Serif CJK SC" w:cs="Noto Serif CJK SC"/>
      <w:b w:val="0"/>
      <w:i/>
      <w:iCs/>
      <w:color w:val="000000"/>
      <w:sz w:val="28"/>
      <w:szCs w:val="24"/>
      <w:lang w:val="zh-CN" w:eastAsia="zh-CN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Noto Serif CJK SC" w:hAnsi="Noto Serif CJK SC" w:eastAsia="Noto Serif CJK SC" w:cs="Noto Serif CJK SC"/>
      <w:i/>
      <w:iCs/>
      <w:color w:val="4F81BD" w:themeColor="accent1"/>
      <w:sz w:val="24"/>
      <w:szCs w:val="24"/>
      <w:lang w:val="zh-CN" w:eastAsia="zh-CN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textAlignment w:val="baseline"/>
      <w:kinsoku w:val="1"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80" w:line="440" w:lineRule="exact"/>
      <w:textAlignment w:val="baseline"/>
      <w:kinsoku w:val="1"/>
      <w:snapToGrid w:val="0"/>
    </w:pPr>
    <w:rPr>
      <w:rFonts w:ascii="Noto Serif CJK SC" w:hAnsi="Noto Serif CJK SC" w:eastAsia="Noto Serif CJK SC" w:cs="Noto Serif CJK SC"/>
      <w:sz w:val="24"/>
      <w:lang w:val="zh-CN" w:eastAsia="zh-CN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textAlignment w:val="baseline"/>
      <w:kinsoku w:val="1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textAlignment w:val="baseline"/>
      <w:kinsoku w:val="1"/>
      <w:snapToGrid w:val="0"/>
    </w:pPr>
    <w:rPr>
      <w:rFonts w:ascii="Noto Serif CJK SC" w:hAnsi="Noto Serif CJK SC" w:eastAsia="Noto Serif CJK SC" w:cs="Noto Serif CJK SC"/>
      <w:sz w:val="16"/>
      <w:szCs w:val="16"/>
      <w:lang w:val="zh-CN" w:eastAsia="zh-CN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Noto Serif CJK SC" w:hAnsi="Noto Serif CJK SC" w:eastAsia="Noto Serif CJK SC" w:cs="Noto Serif CJK SC"/>
      <w:sz w:val="16"/>
      <w:szCs w:val="16"/>
      <w:lang w:val="zh-CN" w:eastAsia="zh-CN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textAlignment w:val="baseline"/>
      <w:kinsoku w:val="1"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textAlignment w:val="baseline"/>
      <w:kinsoku w:val="1"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textAlignment w:val="baseline"/>
      <w:kinsoku w:val="1"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textAlignment w:val="baseline"/>
      <w:kinsoku w:val="1"/>
      <w:snapToGrid w:val="0"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textAlignment w:val="baseline"/>
      <w:kinsoku w:val="1"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textAlignment w:val="baseline"/>
      <w:kinsoku w:val="1"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textAlignment w:val="baseline"/>
      <w:kinsoku w:val="1"/>
      <w:snapToGrid w:val="0"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textAlignment w:val="baseline"/>
      <w:kinsoku w:val="1"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textAlignment w:val="baseline"/>
      <w:kinsoku w:val="1"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textAlignment w:val="baseline"/>
      <w:kinsoku w:val="1"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textAlignment w:val="baseline"/>
      <w:kinsoku w:val="1"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textAlignment w:val="baseline"/>
      <w:kinsoku w:val="1"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textAlignment w:val="baseline"/>
      <w:kinsoku w:val="1"/>
      <w:snapToGrid w:val="0"/>
    </w:pPr>
    <w:rPr>
      <w:rFonts w:ascii="Noto Serif CJK SC" w:hAnsi="Noto Serif CJK SC" w:eastAsia="Noto Serif CJK SC" w:cs="Noto Serif CJK SC"/>
      <w:sz w:val="20"/>
      <w:szCs w:val="20"/>
      <w:lang w:val="zh-CN" w:eastAsia="zh-CN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Noto Serif CJK SC" w:hAnsi="Noto Serif CJK SC" w:eastAsia="Noto Serif CJK SC" w:cs="Noto Serif CJK SC"/>
      <w:sz w:val="20"/>
      <w:szCs w:val="20"/>
      <w:lang w:val="zh-CN" w:eastAsia="zh-CN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Noto Serif CJK SC" w:hAnsi="Noto Serif CJK SC" w:eastAsia="Noto Serif CJK SC" w:cs="Noto Serif CJK SC"/>
      <w:i/>
      <w:iCs/>
      <w:color w:val="000000" w:themeColor="text1"/>
      <w:lang w:val="zh-CN" w:eastAsia="zh-CN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Noto Serif CJK SC" w:hAnsi="Noto Serif CJK SC" w:eastAsia="Noto Serif CJK SC" w:cs="Noto Serif CJK SC"/>
      <w:i/>
      <w:iCs/>
      <w:color w:val="000000" w:themeColor="text1"/>
      <w:lang w:val="zh-CN" w:eastAsia="zh-C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Noto Serif CJK SC" w:hAnsi="Noto Serif CJK SC" w:eastAsia="Noto Serif CJK SC" w:cs="Noto Serif CJK SC"/>
      <w:b/>
      <w:bCs/>
      <w:i/>
      <w:iCs/>
      <w:color w:val="4F81BD" w:themeColor="accent1"/>
      <w:lang w:val="zh-CN" w:eastAsia="zh-C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Noto Serif CJK SC" w:hAnsi="Noto Serif CJK SC" w:eastAsia="Noto Serif CJK SC" w:cs="Noto Serif CJK SC"/>
      <w:color w:val="243F60" w:themeColor="accent1" w:themeShade="7F"/>
      <w:lang w:val="zh-CN" w:eastAsia="zh-C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Noto Serif CJK SC" w:hAnsi="Noto Serif CJK SC" w:eastAsia="Noto Serif CJK SC" w:cs="Noto Serif CJK SC"/>
      <w:i/>
      <w:iCs/>
      <w:color w:val="243F60" w:themeColor="accent1" w:themeShade="7F"/>
      <w:lang w:val="zh-CN" w:eastAsia="zh-C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Noto Serif CJK SC" w:hAnsi="Noto Serif CJK SC" w:eastAsia="Noto Serif CJK SC" w:cs="Noto Serif CJK SC"/>
      <w:i/>
      <w:iCs/>
      <w:color w:val="404040" w:themeColor="text1" w:themeTint="BF"/>
      <w:lang w:val="zh-CN" w:eastAsia="zh-C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Noto Serif CJK SC" w:hAnsi="Noto Serif CJK SC" w:eastAsia="Noto Serif CJK SC" w:cs="Noto Serif CJK SC"/>
      <w:color w:val="4F81BD" w:themeColor="accent1"/>
      <w:sz w:val="20"/>
      <w:szCs w:val="20"/>
      <w:lang w:val="zh-CN" w:eastAsia="zh-C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Noto Serif CJK SC" w:hAnsi="Noto Serif CJK SC" w:eastAsia="Noto Serif CJK SC" w:cs="Noto Serif CJK SC"/>
      <w:i/>
      <w:iCs/>
      <w:color w:val="404040" w:themeColor="text1" w:themeTint="BF"/>
      <w:sz w:val="20"/>
      <w:szCs w:val="20"/>
      <w:lang w:val="zh-CN" w:eastAsia="zh-CN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20" w:lineRule="exact" w:after="120"/>
      <w:ind w:firstLine="0"/>
      <w:textAlignment w:val="baseline"/>
      <w:kinsoku w:val="1"/>
      <w:snapToGrid w:val="0"/>
    </w:pPr>
    <w:rPr>
      <w:rFonts w:ascii="Liberation Serif" w:hAnsi="Liberation Serif" w:eastAsia="Noto Serif CJK SC" w:cs="Noto Serif CJK SC"/>
      <w:b w:val="0"/>
      <w:bCs/>
      <w:color w:val="000000"/>
      <w:sz w:val="21"/>
      <w:szCs w:val="18"/>
      <w:lang w:val="zh-CN" w:eastAsia="zh-CN"/>
    </w:rPr>
  </w:style>
  <w:style w:type="character" w:styleId="Strong">
    <w:name w:val="Strong"/>
    <w:basedOn w:val="DefaultParagraphFont"/>
    <w:uiPriority w:val="22"/>
    <w:qFormat/>
    <w:rsid w:val="00FC693F"/>
    <w:rPr>
      <w:rFonts w:ascii="Noto Serif CJK SC" w:hAnsi="Noto Serif CJK SC" w:eastAsia="Noto Serif CJK SC" w:cs="Noto Serif CJK SC"/>
      <w:b/>
      <w:bCs/>
      <w:lang w:val="zh-CN" w:eastAsia="zh-CN"/>
    </w:rPr>
  </w:style>
  <w:style w:type="character" w:styleId="Emphasis">
    <w:name w:val="Emphasis"/>
    <w:basedOn w:val="DefaultParagraphFont"/>
    <w:uiPriority w:val="20"/>
    <w:qFormat/>
    <w:rsid w:val="00FC693F"/>
    <w:rPr>
      <w:rFonts w:ascii="Noto Serif CJK SC" w:hAnsi="Noto Serif CJK SC" w:eastAsia="Noto Serif CJK SC" w:cs="Noto Serif CJK SC"/>
      <w:i/>
      <w:iCs/>
      <w:lang w:val="zh-CN" w:eastAsia="zh-CN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textAlignment w:val="baseline"/>
      <w:kinsoku w:val="1"/>
      <w:snapToGrid w:val="0"/>
    </w:pPr>
    <w:rPr>
      <w:rFonts w:ascii="Noto Serif CJK SC" w:hAnsi="Noto Serif CJK SC" w:eastAsia="Noto Serif CJK SC" w:cs="Noto Serif CJK SC"/>
      <w:b/>
      <w:bCs/>
      <w:i/>
      <w:iCs/>
      <w:color w:val="4F81BD" w:themeColor="accent1"/>
      <w:lang w:val="zh-CN" w:eastAsia="zh-CN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Noto Serif CJK SC" w:hAnsi="Noto Serif CJK SC" w:eastAsia="Noto Serif CJK SC" w:cs="Noto Serif CJK SC"/>
      <w:b/>
      <w:bCs/>
      <w:i/>
      <w:iCs/>
      <w:color w:val="4F81BD" w:themeColor="accent1"/>
      <w:lang w:val="zh-CN" w:eastAsia="zh-CN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Noto Serif CJK SC" w:hAnsi="Noto Serif CJK SC" w:eastAsia="Noto Serif CJK SC" w:cs="Noto Serif CJK SC"/>
      <w:i/>
      <w:iCs/>
      <w:color w:val="808080" w:themeColor="text1" w:themeTint="7F"/>
      <w:lang w:val="zh-CN" w:eastAsia="zh-CN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Noto Serif CJK SC" w:hAnsi="Noto Serif CJK SC" w:eastAsia="Noto Serif CJK SC" w:cs="Noto Serif CJK SC"/>
      <w:b/>
      <w:bCs/>
      <w:i/>
      <w:iCs/>
      <w:color w:val="4F81BD" w:themeColor="accent1"/>
      <w:lang w:val="zh-CN" w:eastAsia="zh-CN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Noto Serif CJK SC" w:hAnsi="Noto Serif CJK SC" w:eastAsia="Noto Serif CJK SC" w:cs="Noto Serif CJK SC"/>
      <w:smallCaps/>
      <w:color w:val="C0504D" w:themeColor="accent2"/>
      <w:u w:val="single"/>
      <w:lang w:val="zh-CN" w:eastAsia="zh-CN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Noto Serif CJK SC" w:hAnsi="Noto Serif CJK SC" w:eastAsia="Noto Serif CJK SC" w:cs="Noto Serif CJK SC"/>
      <w:b/>
      <w:bCs/>
      <w:smallCaps/>
      <w:color w:val="C0504D" w:themeColor="accent2"/>
      <w:u w:val="single"/>
      <w:lang w:val="zh-CN" w:eastAsia="zh-CN"/>
    </w:rPr>
  </w:style>
  <w:style w:type="character" w:styleId="BookTitle">
    <w:name w:val="Book Title"/>
    <w:basedOn w:val="DefaultParagraphFont"/>
    <w:uiPriority w:val="33"/>
    <w:qFormat/>
    <w:rsid w:val="00FC693F"/>
    <w:rPr>
      <w:rFonts w:ascii="Noto Serif CJK SC" w:hAnsi="Noto Serif CJK SC" w:eastAsia="Noto Serif CJK SC" w:cs="Noto Serif CJK SC"/>
      <w:b/>
      <w:bCs/>
      <w:smallCaps/>
      <w:lang w:val="zh-CN" w:eastAsia="zh-CN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textAlignment w:val="baseline"/>
      <w:kinsoku w:val="1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  <w:textAlignment w:val="baseline"/>
      <w:kinsoku w:val="1"/>
      <w:snapToGrid w:val="0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000000" w:themeColor="text1" w:themeShade="BF"/>
      <w:lang w:val="zh-CN" w:eastAsia="zh-CN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365F91" w:themeColor="accent1" w:themeShade="BF"/>
      <w:lang w:val="zh-CN" w:eastAsia="zh-CN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943634" w:themeColor="accent2" w:themeShade="BF"/>
      <w:lang w:val="zh-CN" w:eastAsia="zh-CN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76923C" w:themeColor="accent3" w:themeShade="BF"/>
      <w:lang w:val="zh-CN" w:eastAsia="zh-CN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5F497A" w:themeColor="accent4" w:themeShade="BF"/>
      <w:lang w:val="zh-CN" w:eastAsia="zh-CN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31849B" w:themeColor="accent5" w:themeShade="BF"/>
      <w:lang w:val="zh-CN" w:eastAsia="zh-CN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E36C0A" w:themeColor="accent6" w:themeShade="BF"/>
      <w:lang w:val="zh-CN" w:eastAsia="zh-CN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  <w:textAlignment w:val="baseline"/>
      <w:kinsoku w:val="1"/>
      <w:snapToGrid w:val="0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  <w:textAlignment w:val="baseline"/>
      <w:kinsoku w:val="1"/>
      <w:snapToGrid w:val="0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  <w:textAlignment w:val="baseline"/>
      <w:kinsoku w:val="1"/>
      <w:snapToGrid w:val="0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  <w:textAlignment w:val="baseline"/>
      <w:kinsoku w:val="1"/>
      <w:snapToGrid w:val="0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  <w:textAlignment w:val="baseline"/>
      <w:kinsoku w:val="1"/>
      <w:snapToGrid w:val="0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  <w:textAlignment w:val="baseline"/>
      <w:kinsoku w:val="1"/>
      <w:snapToGrid w:val="0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  <w:textAlignment w:val="baseline"/>
      <w:kinsoku w:val="1"/>
      <w:snapToGrid w:val="0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  <w:textAlignment w:val="baseline"/>
      <w:kinsoku w:val="1"/>
      <w:snapToGrid w:val="0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  <w:textAlignment w:val="baseline"/>
      <w:kinsoku w:val="1"/>
      <w:snapToGrid w:val="0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  <w:textAlignment w:val="baseline"/>
      <w:kinsoku w:val="1"/>
      <w:snapToGrid w:val="0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  <w:textAlignment w:val="baseline"/>
      <w:kinsoku w:val="1"/>
      <w:snapToGrid w:val="0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  <w:textAlignment w:val="baseline"/>
      <w:kinsoku w:val="1"/>
      <w:snapToGrid w:val="0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  <w:textAlignment w:val="baseline"/>
      <w:kinsoku w:val="1"/>
      <w:snapToGrid w:val="0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  <w:textAlignment w:val="baseline"/>
      <w:kinsoku w:val="1"/>
      <w:snapToGrid w:val="0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  <w:textAlignment w:val="baseline"/>
      <w:kinsoku w:val="1"/>
      <w:snapToGrid w:val="0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  <w:textAlignment w:val="baseline"/>
      <w:kinsoku w:val="1"/>
      <w:snapToGrid w:val="0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  <w:textAlignment w:val="baseline"/>
      <w:kinsoku w:val="1"/>
      <w:snapToGrid w:val="0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  <w:textAlignment w:val="baseline"/>
      <w:kinsoku w:val="1"/>
      <w:snapToGrid w:val="0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  <w:textAlignment w:val="baseline"/>
      <w:kinsoku w:val="1"/>
      <w:snapToGrid w:val="0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  <w:textAlignment w:val="baseline"/>
      <w:kinsoku w:val="1"/>
      <w:snapToGrid w:val="0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  <w:textAlignment w:val="baseline"/>
      <w:kinsoku w:val="1"/>
      <w:snapToGrid w:val="0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  <w:textAlignment w:val="baseline"/>
      <w:kinsoku w:val="1"/>
      <w:snapToGrid w:val="0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color w:val="auto"/>
        <w:lang w:val="zh-CN" w:eastAsia="zh-CN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Noto Serif CJK SC" w:hAnsi="Noto Serif CJK SC" w:eastAsia="Noto Serif CJK SC" w:cs="Noto Serif CJK SC"/>
        <w:color w:val="FFFFFF" w:themeColor="background1"/>
        <w:lang w:val="zh-CN" w:eastAsia="zh-C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  <w:textAlignment w:val="baseline"/>
      <w:kinsoku w:val="1"/>
      <w:snapToGrid w:val="0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color w:val="auto"/>
        <w:lang w:val="zh-CN" w:eastAsia="zh-CN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Noto Serif CJK SC" w:hAnsi="Noto Serif CJK SC" w:eastAsia="Noto Serif CJK SC" w:cs="Noto Serif CJK SC"/>
        <w:color w:val="FFFFFF" w:themeColor="background1"/>
        <w:lang w:val="zh-CN" w:eastAsia="zh-C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  <w:textAlignment w:val="baseline"/>
      <w:kinsoku w:val="1"/>
      <w:snapToGrid w:val="0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color w:val="auto"/>
        <w:lang w:val="zh-CN" w:eastAsia="zh-CN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Noto Serif CJK SC" w:hAnsi="Noto Serif CJK SC" w:eastAsia="Noto Serif CJK SC" w:cs="Noto Serif CJK SC"/>
        <w:color w:val="FFFFFF" w:themeColor="background1"/>
        <w:lang w:val="zh-CN" w:eastAsia="zh-C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  <w:textAlignment w:val="baseline"/>
      <w:kinsoku w:val="1"/>
      <w:snapToGrid w:val="0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color w:val="auto"/>
        <w:lang w:val="zh-CN" w:eastAsia="zh-CN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Noto Serif CJK SC" w:hAnsi="Noto Serif CJK SC" w:eastAsia="Noto Serif CJK SC" w:cs="Noto Serif CJK SC"/>
        <w:color w:val="FFFFFF" w:themeColor="background1"/>
        <w:lang w:val="zh-CN" w:eastAsia="zh-C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  <w:textAlignment w:val="baseline"/>
      <w:kinsoku w:val="1"/>
      <w:snapToGrid w:val="0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color w:val="auto"/>
        <w:lang w:val="zh-CN" w:eastAsia="zh-CN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Noto Serif CJK SC" w:hAnsi="Noto Serif CJK SC" w:eastAsia="Noto Serif CJK SC" w:cs="Noto Serif CJK SC"/>
        <w:color w:val="FFFFFF" w:themeColor="background1"/>
        <w:lang w:val="zh-CN" w:eastAsia="zh-C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  <w:textAlignment w:val="baseline"/>
      <w:kinsoku w:val="1"/>
      <w:snapToGrid w:val="0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color w:val="auto"/>
        <w:lang w:val="zh-CN" w:eastAsia="zh-CN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Noto Serif CJK SC" w:hAnsi="Noto Serif CJK SC" w:eastAsia="Noto Serif CJK SC" w:cs="Noto Serif CJK SC"/>
        <w:color w:val="FFFFFF" w:themeColor="background1"/>
        <w:lang w:val="zh-CN" w:eastAsia="zh-C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  <w:textAlignment w:val="baseline"/>
      <w:kinsoku w:val="1"/>
      <w:snapToGrid w:val="0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  <w:textAlignment w:val="baseline"/>
        <w:kinsoku w:val="1"/>
        <w:snapToGrid w:val="0"/>
      </w:pPr>
      <w:rPr>
        <w:rFonts w:ascii="Noto Serif CJK SC" w:hAnsi="Noto Serif CJK SC" w:eastAsia="Noto Serif CJK SC" w:cs="Noto Serif CJK SC"/>
        <w:color w:val="auto"/>
        <w:lang w:val="zh-CN" w:eastAsia="zh-CN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Noto Serif CJK SC" w:hAnsi="Noto Serif CJK SC" w:eastAsia="Noto Serif CJK SC" w:cs="Noto Serif CJK SC"/>
        <w:color w:val="FFFFFF" w:themeColor="background1"/>
        <w:lang w:val="zh-CN" w:eastAsia="zh-CN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000000" w:themeColor="text1"/>
      <w:lang w:val="zh-CN" w:eastAsia="zh-CN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erif CJK SC" w:hAnsi="Noto Serif CJK SC" w:eastAsia="Noto Serif CJK SC" w:cs="Noto Serif CJK SC"/>
        <w:lang w:val="zh-CN" w:eastAsia="zh-C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rFonts w:ascii="Noto Serif CJK SC" w:hAnsi="Noto Serif CJK SC" w:eastAsia="Noto Serif CJK SC" w:cs="Noto Serif CJK SC"/>
        <w:b/>
        <w:bCs/>
        <w:color w:val="1F497D" w:themeColor="text2"/>
        <w:lang w:val="zh-CN" w:eastAsia="zh-CN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000000" w:themeColor="text1"/>
      <w:lang w:val="zh-CN" w:eastAsia="zh-CN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erif CJK SC" w:hAnsi="Noto Serif CJK SC" w:eastAsia="Noto Serif CJK SC" w:cs="Noto Serif CJK SC"/>
        <w:lang w:val="zh-CN" w:eastAsia="zh-C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rFonts w:ascii="Noto Serif CJK SC" w:hAnsi="Noto Serif CJK SC" w:eastAsia="Noto Serif CJK SC" w:cs="Noto Serif CJK SC"/>
        <w:b/>
        <w:bCs/>
        <w:color w:val="1F497D" w:themeColor="text2"/>
        <w:lang w:val="zh-CN" w:eastAsia="zh-CN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000000" w:themeColor="text1"/>
      <w:lang w:val="zh-CN" w:eastAsia="zh-CN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erif CJK SC" w:hAnsi="Noto Serif CJK SC" w:eastAsia="Noto Serif CJK SC" w:cs="Noto Serif CJK SC"/>
        <w:lang w:val="zh-CN" w:eastAsia="zh-C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rFonts w:ascii="Noto Serif CJK SC" w:hAnsi="Noto Serif CJK SC" w:eastAsia="Noto Serif CJK SC" w:cs="Noto Serif CJK SC"/>
        <w:b/>
        <w:bCs/>
        <w:color w:val="1F497D" w:themeColor="text2"/>
        <w:lang w:val="zh-CN" w:eastAsia="zh-CN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000000" w:themeColor="text1"/>
      <w:lang w:val="zh-CN" w:eastAsia="zh-CN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erif CJK SC" w:hAnsi="Noto Serif CJK SC" w:eastAsia="Noto Serif CJK SC" w:cs="Noto Serif CJK SC"/>
        <w:lang w:val="zh-CN" w:eastAsia="zh-C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rFonts w:ascii="Noto Serif CJK SC" w:hAnsi="Noto Serif CJK SC" w:eastAsia="Noto Serif CJK SC" w:cs="Noto Serif CJK SC"/>
        <w:b/>
        <w:bCs/>
        <w:color w:val="1F497D" w:themeColor="text2"/>
        <w:lang w:val="zh-CN" w:eastAsia="zh-CN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000000" w:themeColor="text1"/>
      <w:lang w:val="zh-CN" w:eastAsia="zh-CN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erif CJK SC" w:hAnsi="Noto Serif CJK SC" w:eastAsia="Noto Serif CJK SC" w:cs="Noto Serif CJK SC"/>
        <w:lang w:val="zh-CN" w:eastAsia="zh-C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rFonts w:ascii="Noto Serif CJK SC" w:hAnsi="Noto Serif CJK SC" w:eastAsia="Noto Serif CJK SC" w:cs="Noto Serif CJK SC"/>
        <w:b/>
        <w:bCs/>
        <w:color w:val="1F497D" w:themeColor="text2"/>
        <w:lang w:val="zh-CN" w:eastAsia="zh-CN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000000" w:themeColor="text1"/>
      <w:lang w:val="zh-CN" w:eastAsia="zh-CN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erif CJK SC" w:hAnsi="Noto Serif CJK SC" w:eastAsia="Noto Serif CJK SC" w:cs="Noto Serif CJK SC"/>
        <w:lang w:val="zh-CN" w:eastAsia="zh-C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rFonts w:ascii="Noto Serif CJK SC" w:hAnsi="Noto Serif CJK SC" w:eastAsia="Noto Serif CJK SC" w:cs="Noto Serif CJK SC"/>
        <w:b/>
        <w:bCs/>
        <w:color w:val="1F497D" w:themeColor="text2"/>
        <w:lang w:val="zh-CN" w:eastAsia="zh-CN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000000" w:themeColor="text1"/>
      <w:lang w:val="zh-CN" w:eastAsia="zh-CN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erif CJK SC" w:hAnsi="Noto Serif CJK SC" w:eastAsia="Noto Serif CJK SC" w:cs="Noto Serif CJK SC"/>
        <w:lang w:val="zh-CN" w:eastAsia="zh-C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rFonts w:ascii="Noto Serif CJK SC" w:hAnsi="Noto Serif CJK SC" w:eastAsia="Noto Serif CJK SC" w:cs="Noto Serif CJK SC"/>
        <w:b/>
        <w:bCs/>
        <w:color w:val="1F497D" w:themeColor="text2"/>
        <w:lang w:val="zh-CN" w:eastAsia="zh-CN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000000" w:themeColor="text1"/>
      <w:lang w:val="zh-CN" w:eastAsia="zh-CN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erif CJK SC" w:hAnsi="Noto Serif CJK SC" w:eastAsia="Noto Serif CJK SC" w:cs="Noto Serif CJK SC"/>
        <w:sz w:val="24"/>
        <w:szCs w:val="24"/>
        <w:lang w:val="zh-CN" w:eastAsia="zh-CN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000000" w:themeColor="text1"/>
      <w:lang w:val="zh-CN" w:eastAsia="zh-CN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erif CJK SC" w:hAnsi="Noto Serif CJK SC" w:eastAsia="Noto Serif CJK SC" w:cs="Noto Serif CJK SC"/>
        <w:sz w:val="24"/>
        <w:szCs w:val="24"/>
        <w:lang w:val="zh-CN" w:eastAsia="zh-CN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000000" w:themeColor="text1"/>
      <w:lang w:val="zh-CN" w:eastAsia="zh-CN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erif CJK SC" w:hAnsi="Noto Serif CJK SC" w:eastAsia="Noto Serif CJK SC" w:cs="Noto Serif CJK SC"/>
        <w:sz w:val="24"/>
        <w:szCs w:val="24"/>
        <w:lang w:val="zh-CN" w:eastAsia="zh-CN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000000" w:themeColor="text1"/>
      <w:lang w:val="zh-CN" w:eastAsia="zh-CN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erif CJK SC" w:hAnsi="Noto Serif CJK SC" w:eastAsia="Noto Serif CJK SC" w:cs="Noto Serif CJK SC"/>
        <w:sz w:val="24"/>
        <w:szCs w:val="24"/>
        <w:lang w:val="zh-CN" w:eastAsia="zh-CN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000000" w:themeColor="text1"/>
      <w:lang w:val="zh-CN" w:eastAsia="zh-CN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erif CJK SC" w:hAnsi="Noto Serif CJK SC" w:eastAsia="Noto Serif CJK SC" w:cs="Noto Serif CJK SC"/>
        <w:sz w:val="24"/>
        <w:szCs w:val="24"/>
        <w:lang w:val="zh-CN" w:eastAsia="zh-CN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000000" w:themeColor="text1"/>
      <w:lang w:val="zh-CN" w:eastAsia="zh-CN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erif CJK SC" w:hAnsi="Noto Serif CJK SC" w:eastAsia="Noto Serif CJK SC" w:cs="Noto Serif CJK SC"/>
        <w:sz w:val="24"/>
        <w:szCs w:val="24"/>
        <w:lang w:val="zh-CN" w:eastAsia="zh-CN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000000" w:themeColor="text1"/>
      <w:lang w:val="zh-CN" w:eastAsia="zh-CN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oto Serif CJK SC" w:hAnsi="Noto Serif CJK SC" w:eastAsia="Noto Serif CJK SC" w:cs="Noto Serif CJK SC"/>
        <w:sz w:val="24"/>
        <w:szCs w:val="24"/>
        <w:lang w:val="zh-CN" w:eastAsia="zh-CN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  <w:textAlignment w:val="baseline"/>
      <w:kinsoku w:val="1"/>
      <w:snapToGrid w:val="0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Row"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  <w:textAlignment w:val="baseline"/>
      <w:kinsoku w:val="1"/>
      <w:snapToGrid w:val="0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Row"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  <w:textAlignment w:val="baseline"/>
      <w:kinsoku w:val="1"/>
      <w:snapToGrid w:val="0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Row"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  <w:textAlignment w:val="baseline"/>
      <w:kinsoku w:val="1"/>
      <w:snapToGrid w:val="0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Row"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  <w:textAlignment w:val="baseline"/>
      <w:kinsoku w:val="1"/>
      <w:snapToGrid w:val="0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Row"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  <w:textAlignment w:val="baseline"/>
      <w:kinsoku w:val="1"/>
      <w:snapToGrid w:val="0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Row"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  <w:textAlignment w:val="baseline"/>
      <w:kinsoku w:val="1"/>
      <w:snapToGrid w:val="0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Row"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000000" w:themeColor="text1"/>
      <w:lang w:val="zh-CN" w:eastAsia="zh-CN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ascii="Noto Serif CJK SC" w:hAnsi="Noto Serif CJK SC" w:eastAsia="Noto Serif CJK SC" w:cs="Noto Serif CJK SC"/>
        <w:b/>
        <w:bCs/>
        <w:color w:val="000000" w:themeColor="text1"/>
        <w:lang w:val="zh-CN" w:eastAsia="zh-CN"/>
      </w:rPr>
      <w:tblPr/>
      <w:tcPr>
        <w:shd w:val="clear" w:color="auto" w:fill="E6E6E6" w:themeFill="text1" w:themeFillTint="19"/>
      </w:tcPr>
    </w:tblStylePr>
    <w:tblStylePr w:type="lastRow">
      <w:rPr>
        <w:rFonts w:ascii="Noto Serif CJK SC" w:hAnsi="Noto Serif CJK SC" w:eastAsia="Noto Serif CJK SC" w:cs="Noto Serif CJK SC"/>
        <w:b/>
        <w:bCs/>
        <w:color w:val="000000" w:themeColor="text1"/>
        <w:lang w:val="zh-CN" w:eastAsia="zh-CN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Noto Serif CJK SC" w:hAnsi="Noto Serif CJK SC" w:eastAsia="Noto Serif CJK SC" w:cs="Noto Serif CJK SC"/>
        <w:b/>
        <w:bCs/>
        <w:color w:val="000000" w:themeColor="text1"/>
        <w:lang w:val="zh-CN" w:eastAsia="zh-C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Noto Serif CJK SC" w:hAnsi="Noto Serif CJK SC" w:eastAsia="Noto Serif CJK SC" w:cs="Noto Serif CJK SC"/>
        <w:b w:val="0"/>
        <w:bCs w:val="0"/>
        <w:color w:val="000000" w:themeColor="text1"/>
        <w:lang w:val="zh-CN" w:eastAsia="zh-C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000000" w:themeColor="text1"/>
      <w:lang w:val="zh-CN" w:eastAsia="zh-CN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ascii="Noto Serif CJK SC" w:hAnsi="Noto Serif CJK SC" w:eastAsia="Noto Serif CJK SC" w:cs="Noto Serif CJK SC"/>
        <w:b/>
        <w:bCs/>
        <w:color w:val="000000" w:themeColor="text1"/>
        <w:lang w:val="zh-CN" w:eastAsia="zh-CN"/>
      </w:rPr>
      <w:tblPr/>
      <w:tcPr>
        <w:shd w:val="clear" w:color="auto" w:fill="EDF2F8" w:themeFill="accent1" w:themeFillTint="19"/>
      </w:tcPr>
    </w:tblStylePr>
    <w:tblStylePr w:type="lastRow">
      <w:rPr>
        <w:rFonts w:ascii="Noto Serif CJK SC" w:hAnsi="Noto Serif CJK SC" w:eastAsia="Noto Serif CJK SC" w:cs="Noto Serif CJK SC"/>
        <w:b/>
        <w:bCs/>
        <w:color w:val="000000" w:themeColor="text1"/>
        <w:lang w:val="zh-CN" w:eastAsia="zh-CN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Noto Serif CJK SC" w:hAnsi="Noto Serif CJK SC" w:eastAsia="Noto Serif CJK SC" w:cs="Noto Serif CJK SC"/>
        <w:b/>
        <w:bCs/>
        <w:color w:val="000000" w:themeColor="text1"/>
        <w:lang w:val="zh-CN" w:eastAsia="zh-C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Noto Serif CJK SC" w:hAnsi="Noto Serif CJK SC" w:eastAsia="Noto Serif CJK SC" w:cs="Noto Serif CJK SC"/>
        <w:b w:val="0"/>
        <w:bCs w:val="0"/>
        <w:color w:val="000000" w:themeColor="text1"/>
        <w:lang w:val="zh-CN" w:eastAsia="zh-C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000000" w:themeColor="text1"/>
      <w:lang w:val="zh-CN" w:eastAsia="zh-CN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ascii="Noto Serif CJK SC" w:hAnsi="Noto Serif CJK SC" w:eastAsia="Noto Serif CJK SC" w:cs="Noto Serif CJK SC"/>
        <w:b/>
        <w:bCs/>
        <w:color w:val="000000" w:themeColor="text1"/>
        <w:lang w:val="zh-CN" w:eastAsia="zh-CN"/>
      </w:rPr>
      <w:tblPr/>
      <w:tcPr>
        <w:shd w:val="clear" w:color="auto" w:fill="F8EDED" w:themeFill="accent2" w:themeFillTint="19"/>
      </w:tcPr>
    </w:tblStylePr>
    <w:tblStylePr w:type="lastRow">
      <w:rPr>
        <w:rFonts w:ascii="Noto Serif CJK SC" w:hAnsi="Noto Serif CJK SC" w:eastAsia="Noto Serif CJK SC" w:cs="Noto Serif CJK SC"/>
        <w:b/>
        <w:bCs/>
        <w:color w:val="000000" w:themeColor="text1"/>
        <w:lang w:val="zh-CN" w:eastAsia="zh-CN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Noto Serif CJK SC" w:hAnsi="Noto Serif CJK SC" w:eastAsia="Noto Serif CJK SC" w:cs="Noto Serif CJK SC"/>
        <w:b/>
        <w:bCs/>
        <w:color w:val="000000" w:themeColor="text1"/>
        <w:lang w:val="zh-CN" w:eastAsia="zh-C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Noto Serif CJK SC" w:hAnsi="Noto Serif CJK SC" w:eastAsia="Noto Serif CJK SC" w:cs="Noto Serif CJK SC"/>
        <w:b w:val="0"/>
        <w:bCs w:val="0"/>
        <w:color w:val="000000" w:themeColor="text1"/>
        <w:lang w:val="zh-CN" w:eastAsia="zh-C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000000" w:themeColor="text1"/>
      <w:lang w:val="zh-CN" w:eastAsia="zh-CN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ascii="Noto Serif CJK SC" w:hAnsi="Noto Serif CJK SC" w:eastAsia="Noto Serif CJK SC" w:cs="Noto Serif CJK SC"/>
        <w:b/>
        <w:bCs/>
        <w:color w:val="000000" w:themeColor="text1"/>
        <w:lang w:val="zh-CN" w:eastAsia="zh-CN"/>
      </w:rPr>
      <w:tblPr/>
      <w:tcPr>
        <w:shd w:val="clear" w:color="auto" w:fill="F5F8EE" w:themeFill="accent3" w:themeFillTint="19"/>
      </w:tcPr>
    </w:tblStylePr>
    <w:tblStylePr w:type="lastRow">
      <w:rPr>
        <w:rFonts w:ascii="Noto Serif CJK SC" w:hAnsi="Noto Serif CJK SC" w:eastAsia="Noto Serif CJK SC" w:cs="Noto Serif CJK SC"/>
        <w:b/>
        <w:bCs/>
        <w:color w:val="000000" w:themeColor="text1"/>
        <w:lang w:val="zh-CN" w:eastAsia="zh-CN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Noto Serif CJK SC" w:hAnsi="Noto Serif CJK SC" w:eastAsia="Noto Serif CJK SC" w:cs="Noto Serif CJK SC"/>
        <w:b/>
        <w:bCs/>
        <w:color w:val="000000" w:themeColor="text1"/>
        <w:lang w:val="zh-CN" w:eastAsia="zh-C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Noto Serif CJK SC" w:hAnsi="Noto Serif CJK SC" w:eastAsia="Noto Serif CJK SC" w:cs="Noto Serif CJK SC"/>
        <w:b w:val="0"/>
        <w:bCs w:val="0"/>
        <w:color w:val="000000" w:themeColor="text1"/>
        <w:lang w:val="zh-CN" w:eastAsia="zh-C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000000" w:themeColor="text1"/>
      <w:lang w:val="zh-CN" w:eastAsia="zh-CN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ascii="Noto Serif CJK SC" w:hAnsi="Noto Serif CJK SC" w:eastAsia="Noto Serif CJK SC" w:cs="Noto Serif CJK SC"/>
        <w:b/>
        <w:bCs/>
        <w:color w:val="000000" w:themeColor="text1"/>
        <w:lang w:val="zh-CN" w:eastAsia="zh-CN"/>
      </w:rPr>
      <w:tblPr/>
      <w:tcPr>
        <w:shd w:val="clear" w:color="auto" w:fill="F2EFF6" w:themeFill="accent4" w:themeFillTint="19"/>
      </w:tcPr>
    </w:tblStylePr>
    <w:tblStylePr w:type="lastRow">
      <w:rPr>
        <w:rFonts w:ascii="Noto Serif CJK SC" w:hAnsi="Noto Serif CJK SC" w:eastAsia="Noto Serif CJK SC" w:cs="Noto Serif CJK SC"/>
        <w:b/>
        <w:bCs/>
        <w:color w:val="000000" w:themeColor="text1"/>
        <w:lang w:val="zh-CN" w:eastAsia="zh-CN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Noto Serif CJK SC" w:hAnsi="Noto Serif CJK SC" w:eastAsia="Noto Serif CJK SC" w:cs="Noto Serif CJK SC"/>
        <w:b/>
        <w:bCs/>
        <w:color w:val="000000" w:themeColor="text1"/>
        <w:lang w:val="zh-CN" w:eastAsia="zh-C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Noto Serif CJK SC" w:hAnsi="Noto Serif CJK SC" w:eastAsia="Noto Serif CJK SC" w:cs="Noto Serif CJK SC"/>
        <w:b w:val="0"/>
        <w:bCs w:val="0"/>
        <w:color w:val="000000" w:themeColor="text1"/>
        <w:lang w:val="zh-CN" w:eastAsia="zh-C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000000" w:themeColor="text1"/>
      <w:lang w:val="zh-CN" w:eastAsia="zh-CN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ascii="Noto Serif CJK SC" w:hAnsi="Noto Serif CJK SC" w:eastAsia="Noto Serif CJK SC" w:cs="Noto Serif CJK SC"/>
        <w:b/>
        <w:bCs/>
        <w:color w:val="000000" w:themeColor="text1"/>
        <w:lang w:val="zh-CN" w:eastAsia="zh-CN"/>
      </w:rPr>
      <w:tblPr/>
      <w:tcPr>
        <w:shd w:val="clear" w:color="auto" w:fill="EDF6F9" w:themeFill="accent5" w:themeFillTint="19"/>
      </w:tcPr>
    </w:tblStylePr>
    <w:tblStylePr w:type="lastRow">
      <w:rPr>
        <w:rFonts w:ascii="Noto Serif CJK SC" w:hAnsi="Noto Serif CJK SC" w:eastAsia="Noto Serif CJK SC" w:cs="Noto Serif CJK SC"/>
        <w:b/>
        <w:bCs/>
        <w:color w:val="000000" w:themeColor="text1"/>
        <w:lang w:val="zh-CN" w:eastAsia="zh-CN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Noto Serif CJK SC" w:hAnsi="Noto Serif CJK SC" w:eastAsia="Noto Serif CJK SC" w:cs="Noto Serif CJK SC"/>
        <w:b/>
        <w:bCs/>
        <w:color w:val="000000" w:themeColor="text1"/>
        <w:lang w:val="zh-CN" w:eastAsia="zh-C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Noto Serif CJK SC" w:hAnsi="Noto Serif CJK SC" w:eastAsia="Noto Serif CJK SC" w:cs="Noto Serif CJK SC"/>
        <w:b w:val="0"/>
        <w:bCs w:val="0"/>
        <w:color w:val="000000" w:themeColor="text1"/>
        <w:lang w:val="zh-CN" w:eastAsia="zh-C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000000" w:themeColor="text1"/>
      <w:lang w:val="zh-CN" w:eastAsia="zh-CN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ascii="Noto Serif CJK SC" w:hAnsi="Noto Serif CJK SC" w:eastAsia="Noto Serif CJK SC" w:cs="Noto Serif CJK SC"/>
        <w:b/>
        <w:bCs/>
        <w:color w:val="000000" w:themeColor="text1"/>
        <w:lang w:val="zh-CN" w:eastAsia="zh-CN"/>
      </w:rPr>
      <w:tblPr/>
      <w:tcPr>
        <w:shd w:val="clear" w:color="auto" w:fill="FEF4EC" w:themeFill="accent6" w:themeFillTint="19"/>
      </w:tcPr>
    </w:tblStylePr>
    <w:tblStylePr w:type="lastRow">
      <w:rPr>
        <w:rFonts w:ascii="Noto Serif CJK SC" w:hAnsi="Noto Serif CJK SC" w:eastAsia="Noto Serif CJK SC" w:cs="Noto Serif CJK SC"/>
        <w:b/>
        <w:bCs/>
        <w:color w:val="000000" w:themeColor="text1"/>
        <w:lang w:val="zh-CN" w:eastAsia="zh-CN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Noto Serif CJK SC" w:hAnsi="Noto Serif CJK SC" w:eastAsia="Noto Serif CJK SC" w:cs="Noto Serif CJK SC"/>
        <w:b/>
        <w:bCs/>
        <w:color w:val="000000" w:themeColor="text1"/>
        <w:lang w:val="zh-CN" w:eastAsia="zh-C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Noto Serif CJK SC" w:hAnsi="Noto Serif CJK SC" w:eastAsia="Noto Serif CJK SC" w:cs="Noto Serif CJK SC"/>
        <w:b w:val="0"/>
        <w:bCs w:val="0"/>
        <w:color w:val="000000" w:themeColor="text1"/>
        <w:lang w:val="zh-CN" w:eastAsia="zh-C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  <w:textAlignment w:val="baseline"/>
      <w:kinsoku w:val="1"/>
      <w:snapToGrid w:val="0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rFonts w:ascii="Noto Serif CJK SC" w:hAnsi="Noto Serif CJK SC" w:eastAsia="Noto Serif CJK SC" w:cs="Noto Serif CJK SC"/>
        <w:b/>
        <w:bCs/>
        <w:i w:val="0"/>
        <w:iCs w:val="0"/>
        <w:color w:val="FFFFFF" w:themeColor="background1"/>
        <w:lang w:val="zh-CN" w:eastAsia="zh-CN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rFonts w:ascii="Noto Serif CJK SC" w:hAnsi="Noto Serif CJK SC" w:eastAsia="Noto Serif CJK SC" w:cs="Noto Serif CJK SC"/>
        <w:b/>
        <w:bCs/>
        <w:i w:val="0"/>
        <w:iCs w:val="0"/>
        <w:color w:val="FFFFFF" w:themeColor="background1"/>
        <w:lang w:val="zh-CN" w:eastAsia="zh-CN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rFonts w:ascii="Noto Serif CJK SC" w:hAnsi="Noto Serif CJK SC" w:eastAsia="Noto Serif CJK SC" w:cs="Noto Serif CJK SC"/>
        <w:b/>
        <w:bCs/>
        <w:i w:val="0"/>
        <w:iCs w:val="0"/>
        <w:color w:val="FFFFFF" w:themeColor="background1"/>
        <w:lang w:val="zh-CN" w:eastAsia="zh-CN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Noto Serif CJK SC" w:hAnsi="Noto Serif CJK SC" w:eastAsia="Noto Serif CJK SC" w:cs="Noto Serif CJK SC"/>
        <w:b/>
        <w:bCs/>
        <w:i w:val="0"/>
        <w:iCs w:val="0"/>
        <w:color w:val="FFFFFF" w:themeColor="background1"/>
        <w:lang w:val="zh-CN" w:eastAsia="zh-CN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  <w:textAlignment w:val="baseline"/>
      <w:kinsoku w:val="1"/>
      <w:snapToGrid w:val="0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rFonts w:ascii="Noto Serif CJK SC" w:hAnsi="Noto Serif CJK SC" w:eastAsia="Noto Serif CJK SC" w:cs="Noto Serif CJK SC"/>
        <w:b/>
        <w:bCs/>
        <w:i w:val="0"/>
        <w:iCs w:val="0"/>
        <w:color w:val="FFFFFF" w:themeColor="background1"/>
        <w:lang w:val="zh-CN" w:eastAsia="zh-CN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rFonts w:ascii="Noto Serif CJK SC" w:hAnsi="Noto Serif CJK SC" w:eastAsia="Noto Serif CJK SC" w:cs="Noto Serif CJK SC"/>
        <w:b/>
        <w:bCs/>
        <w:i w:val="0"/>
        <w:iCs w:val="0"/>
        <w:color w:val="FFFFFF" w:themeColor="background1"/>
        <w:lang w:val="zh-CN" w:eastAsia="zh-CN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rFonts w:ascii="Noto Serif CJK SC" w:hAnsi="Noto Serif CJK SC" w:eastAsia="Noto Serif CJK SC" w:cs="Noto Serif CJK SC"/>
        <w:b/>
        <w:bCs/>
        <w:i w:val="0"/>
        <w:iCs w:val="0"/>
        <w:color w:val="FFFFFF" w:themeColor="background1"/>
        <w:lang w:val="zh-CN" w:eastAsia="zh-CN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Noto Serif CJK SC" w:hAnsi="Noto Serif CJK SC" w:eastAsia="Noto Serif CJK SC" w:cs="Noto Serif CJK SC"/>
        <w:b/>
        <w:bCs/>
        <w:i w:val="0"/>
        <w:iCs w:val="0"/>
        <w:color w:val="FFFFFF" w:themeColor="background1"/>
        <w:lang w:val="zh-CN" w:eastAsia="zh-CN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  <w:textAlignment w:val="baseline"/>
      <w:kinsoku w:val="1"/>
      <w:snapToGrid w:val="0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rFonts w:ascii="Noto Serif CJK SC" w:hAnsi="Noto Serif CJK SC" w:eastAsia="Noto Serif CJK SC" w:cs="Noto Serif CJK SC"/>
        <w:b/>
        <w:bCs/>
        <w:i w:val="0"/>
        <w:iCs w:val="0"/>
        <w:color w:val="FFFFFF" w:themeColor="background1"/>
        <w:lang w:val="zh-CN" w:eastAsia="zh-CN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rFonts w:ascii="Noto Serif CJK SC" w:hAnsi="Noto Serif CJK SC" w:eastAsia="Noto Serif CJK SC" w:cs="Noto Serif CJK SC"/>
        <w:b/>
        <w:bCs/>
        <w:i w:val="0"/>
        <w:iCs w:val="0"/>
        <w:color w:val="FFFFFF" w:themeColor="background1"/>
        <w:lang w:val="zh-CN" w:eastAsia="zh-CN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rFonts w:ascii="Noto Serif CJK SC" w:hAnsi="Noto Serif CJK SC" w:eastAsia="Noto Serif CJK SC" w:cs="Noto Serif CJK SC"/>
        <w:b/>
        <w:bCs/>
        <w:i w:val="0"/>
        <w:iCs w:val="0"/>
        <w:color w:val="FFFFFF" w:themeColor="background1"/>
        <w:lang w:val="zh-CN" w:eastAsia="zh-CN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Noto Serif CJK SC" w:hAnsi="Noto Serif CJK SC" w:eastAsia="Noto Serif CJK SC" w:cs="Noto Serif CJK SC"/>
        <w:b/>
        <w:bCs/>
        <w:i w:val="0"/>
        <w:iCs w:val="0"/>
        <w:color w:val="FFFFFF" w:themeColor="background1"/>
        <w:lang w:val="zh-CN" w:eastAsia="zh-CN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  <w:textAlignment w:val="baseline"/>
      <w:kinsoku w:val="1"/>
      <w:snapToGrid w:val="0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rFonts w:ascii="Noto Serif CJK SC" w:hAnsi="Noto Serif CJK SC" w:eastAsia="Noto Serif CJK SC" w:cs="Noto Serif CJK SC"/>
        <w:b/>
        <w:bCs/>
        <w:i w:val="0"/>
        <w:iCs w:val="0"/>
        <w:color w:val="FFFFFF" w:themeColor="background1"/>
        <w:lang w:val="zh-CN" w:eastAsia="zh-CN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rFonts w:ascii="Noto Serif CJK SC" w:hAnsi="Noto Serif CJK SC" w:eastAsia="Noto Serif CJK SC" w:cs="Noto Serif CJK SC"/>
        <w:b/>
        <w:bCs/>
        <w:i w:val="0"/>
        <w:iCs w:val="0"/>
        <w:color w:val="FFFFFF" w:themeColor="background1"/>
        <w:lang w:val="zh-CN" w:eastAsia="zh-CN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rFonts w:ascii="Noto Serif CJK SC" w:hAnsi="Noto Serif CJK SC" w:eastAsia="Noto Serif CJK SC" w:cs="Noto Serif CJK SC"/>
        <w:b/>
        <w:bCs/>
        <w:i w:val="0"/>
        <w:iCs w:val="0"/>
        <w:color w:val="FFFFFF" w:themeColor="background1"/>
        <w:lang w:val="zh-CN" w:eastAsia="zh-CN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Noto Serif CJK SC" w:hAnsi="Noto Serif CJK SC" w:eastAsia="Noto Serif CJK SC" w:cs="Noto Serif CJK SC"/>
        <w:b/>
        <w:bCs/>
        <w:i w:val="0"/>
        <w:iCs w:val="0"/>
        <w:color w:val="FFFFFF" w:themeColor="background1"/>
        <w:lang w:val="zh-CN" w:eastAsia="zh-CN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  <w:textAlignment w:val="baseline"/>
      <w:kinsoku w:val="1"/>
      <w:snapToGrid w:val="0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rFonts w:ascii="Noto Serif CJK SC" w:hAnsi="Noto Serif CJK SC" w:eastAsia="Noto Serif CJK SC" w:cs="Noto Serif CJK SC"/>
        <w:b/>
        <w:bCs/>
        <w:i w:val="0"/>
        <w:iCs w:val="0"/>
        <w:color w:val="FFFFFF" w:themeColor="background1"/>
        <w:lang w:val="zh-CN" w:eastAsia="zh-CN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rFonts w:ascii="Noto Serif CJK SC" w:hAnsi="Noto Serif CJK SC" w:eastAsia="Noto Serif CJK SC" w:cs="Noto Serif CJK SC"/>
        <w:b/>
        <w:bCs/>
        <w:i w:val="0"/>
        <w:iCs w:val="0"/>
        <w:color w:val="FFFFFF" w:themeColor="background1"/>
        <w:lang w:val="zh-CN" w:eastAsia="zh-CN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rFonts w:ascii="Noto Serif CJK SC" w:hAnsi="Noto Serif CJK SC" w:eastAsia="Noto Serif CJK SC" w:cs="Noto Serif CJK SC"/>
        <w:b/>
        <w:bCs/>
        <w:i w:val="0"/>
        <w:iCs w:val="0"/>
        <w:color w:val="FFFFFF" w:themeColor="background1"/>
        <w:lang w:val="zh-CN" w:eastAsia="zh-CN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Noto Serif CJK SC" w:hAnsi="Noto Serif CJK SC" w:eastAsia="Noto Serif CJK SC" w:cs="Noto Serif CJK SC"/>
        <w:b/>
        <w:bCs/>
        <w:i w:val="0"/>
        <w:iCs w:val="0"/>
        <w:color w:val="FFFFFF" w:themeColor="background1"/>
        <w:lang w:val="zh-CN" w:eastAsia="zh-CN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  <w:textAlignment w:val="baseline"/>
      <w:kinsoku w:val="1"/>
      <w:snapToGrid w:val="0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rFonts w:ascii="Noto Serif CJK SC" w:hAnsi="Noto Serif CJK SC" w:eastAsia="Noto Serif CJK SC" w:cs="Noto Serif CJK SC"/>
        <w:b/>
        <w:bCs/>
        <w:i w:val="0"/>
        <w:iCs w:val="0"/>
        <w:color w:val="FFFFFF" w:themeColor="background1"/>
        <w:lang w:val="zh-CN" w:eastAsia="zh-CN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rFonts w:ascii="Noto Serif CJK SC" w:hAnsi="Noto Serif CJK SC" w:eastAsia="Noto Serif CJK SC" w:cs="Noto Serif CJK SC"/>
        <w:b/>
        <w:bCs/>
        <w:i w:val="0"/>
        <w:iCs w:val="0"/>
        <w:color w:val="FFFFFF" w:themeColor="background1"/>
        <w:lang w:val="zh-CN" w:eastAsia="zh-CN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rFonts w:ascii="Noto Serif CJK SC" w:hAnsi="Noto Serif CJK SC" w:eastAsia="Noto Serif CJK SC" w:cs="Noto Serif CJK SC"/>
        <w:b/>
        <w:bCs/>
        <w:i w:val="0"/>
        <w:iCs w:val="0"/>
        <w:color w:val="FFFFFF" w:themeColor="background1"/>
        <w:lang w:val="zh-CN" w:eastAsia="zh-CN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Noto Serif CJK SC" w:hAnsi="Noto Serif CJK SC" w:eastAsia="Noto Serif CJK SC" w:cs="Noto Serif CJK SC"/>
        <w:b/>
        <w:bCs/>
        <w:i w:val="0"/>
        <w:iCs w:val="0"/>
        <w:color w:val="FFFFFF" w:themeColor="background1"/>
        <w:lang w:val="zh-CN" w:eastAsia="zh-CN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  <w:textAlignment w:val="baseline"/>
      <w:kinsoku w:val="1"/>
      <w:snapToGrid w:val="0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rFonts w:ascii="Noto Serif CJK SC" w:hAnsi="Noto Serif CJK SC" w:eastAsia="Noto Serif CJK SC" w:cs="Noto Serif CJK SC"/>
        <w:b/>
        <w:bCs/>
        <w:i w:val="0"/>
        <w:iCs w:val="0"/>
        <w:color w:val="FFFFFF" w:themeColor="background1"/>
        <w:lang w:val="zh-CN" w:eastAsia="zh-CN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rFonts w:ascii="Noto Serif CJK SC" w:hAnsi="Noto Serif CJK SC" w:eastAsia="Noto Serif CJK SC" w:cs="Noto Serif CJK SC"/>
        <w:b/>
        <w:bCs/>
        <w:i w:val="0"/>
        <w:iCs w:val="0"/>
        <w:color w:val="FFFFFF" w:themeColor="background1"/>
        <w:lang w:val="zh-CN" w:eastAsia="zh-CN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rFonts w:ascii="Noto Serif CJK SC" w:hAnsi="Noto Serif CJK SC" w:eastAsia="Noto Serif CJK SC" w:cs="Noto Serif CJK SC"/>
        <w:b/>
        <w:bCs/>
        <w:i w:val="0"/>
        <w:iCs w:val="0"/>
        <w:color w:val="FFFFFF" w:themeColor="background1"/>
        <w:lang w:val="zh-CN" w:eastAsia="zh-CN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Noto Serif CJK SC" w:hAnsi="Noto Serif CJK SC" w:eastAsia="Noto Serif CJK SC" w:cs="Noto Serif CJK SC"/>
        <w:b/>
        <w:bCs/>
        <w:i w:val="0"/>
        <w:iCs w:val="0"/>
        <w:color w:val="FFFFFF" w:themeColor="background1"/>
        <w:lang w:val="zh-CN" w:eastAsia="zh-CN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FFFFFF" w:themeColor="background1"/>
      <w:lang w:val="zh-CN" w:eastAsia="zh-C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FFFFFF" w:themeColor="background1"/>
      <w:lang w:val="zh-CN" w:eastAsia="zh-C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FFFFFF" w:themeColor="background1"/>
      <w:lang w:val="zh-CN" w:eastAsia="zh-C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FFFFFF" w:themeColor="background1"/>
      <w:lang w:val="zh-CN" w:eastAsia="zh-C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FFFFFF" w:themeColor="background1"/>
      <w:lang w:val="zh-CN" w:eastAsia="zh-C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FFFFFF" w:themeColor="background1"/>
      <w:lang w:val="zh-CN" w:eastAsia="zh-C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FFFFFF" w:themeColor="background1"/>
      <w:lang w:val="zh-CN" w:eastAsia="zh-C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000000" w:themeColor="text1"/>
      <w:lang w:val="zh-CN" w:eastAsia="zh-CN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rFonts w:ascii="Noto Serif CJK SC" w:hAnsi="Noto Serif CJK SC" w:eastAsia="Noto Serif CJK SC" w:cs="Noto Serif CJK SC"/>
        <w:color w:val="FFFFFF" w:themeColor="background1"/>
        <w:lang w:val="zh-CN" w:eastAsia="zh-CN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rFonts w:ascii="Noto Serif CJK SC" w:hAnsi="Noto Serif CJK SC" w:eastAsia="Noto Serif CJK SC" w:cs="Noto Serif CJK SC"/>
        <w:color w:val="FFFFFF" w:themeColor="background1"/>
        <w:lang w:val="zh-CN" w:eastAsia="zh-C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rFonts w:ascii="Noto Serif CJK SC" w:hAnsi="Noto Serif CJK SC" w:eastAsia="Noto Serif CJK SC" w:cs="Noto Serif CJK SC"/>
        <w:color w:val="000000" w:themeColor="text1"/>
        <w:lang w:val="zh-CN" w:eastAsia="zh-CN"/>
      </w:rPr>
    </w:tblStylePr>
    <w:tblStylePr w:type="nwCell">
      <w:rPr>
        <w:rFonts w:ascii="Noto Serif CJK SC" w:hAnsi="Noto Serif CJK SC" w:eastAsia="Noto Serif CJK SC" w:cs="Noto Serif CJK SC"/>
        <w:color w:val="000000" w:themeColor="text1"/>
        <w:lang w:val="zh-CN" w:eastAsia="zh-CN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000000" w:themeColor="text1"/>
      <w:lang w:val="zh-CN" w:eastAsia="zh-CN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rFonts w:ascii="Noto Serif CJK SC" w:hAnsi="Noto Serif CJK SC" w:eastAsia="Noto Serif CJK SC" w:cs="Noto Serif CJK SC"/>
        <w:color w:val="FFFFFF" w:themeColor="background1"/>
        <w:lang w:val="zh-CN" w:eastAsia="zh-CN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rFonts w:ascii="Noto Serif CJK SC" w:hAnsi="Noto Serif CJK SC" w:eastAsia="Noto Serif CJK SC" w:cs="Noto Serif CJK SC"/>
        <w:color w:val="FFFFFF" w:themeColor="background1"/>
        <w:lang w:val="zh-CN" w:eastAsia="zh-C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rFonts w:ascii="Noto Serif CJK SC" w:hAnsi="Noto Serif CJK SC" w:eastAsia="Noto Serif CJK SC" w:cs="Noto Serif CJK SC"/>
        <w:color w:val="000000" w:themeColor="text1"/>
        <w:lang w:val="zh-CN" w:eastAsia="zh-CN"/>
      </w:rPr>
    </w:tblStylePr>
    <w:tblStylePr w:type="nwCell">
      <w:rPr>
        <w:rFonts w:ascii="Noto Serif CJK SC" w:hAnsi="Noto Serif CJK SC" w:eastAsia="Noto Serif CJK SC" w:cs="Noto Serif CJK SC"/>
        <w:color w:val="000000" w:themeColor="text1"/>
        <w:lang w:val="zh-CN" w:eastAsia="zh-CN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000000" w:themeColor="text1"/>
      <w:lang w:val="zh-CN" w:eastAsia="zh-CN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rFonts w:ascii="Noto Serif CJK SC" w:hAnsi="Noto Serif CJK SC" w:eastAsia="Noto Serif CJK SC" w:cs="Noto Serif CJK SC"/>
        <w:color w:val="FFFFFF" w:themeColor="background1"/>
        <w:lang w:val="zh-CN" w:eastAsia="zh-CN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rFonts w:ascii="Noto Serif CJK SC" w:hAnsi="Noto Serif CJK SC" w:eastAsia="Noto Serif CJK SC" w:cs="Noto Serif CJK SC"/>
        <w:color w:val="FFFFFF" w:themeColor="background1"/>
        <w:lang w:val="zh-CN" w:eastAsia="zh-C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rFonts w:ascii="Noto Serif CJK SC" w:hAnsi="Noto Serif CJK SC" w:eastAsia="Noto Serif CJK SC" w:cs="Noto Serif CJK SC"/>
        <w:color w:val="000000" w:themeColor="text1"/>
        <w:lang w:val="zh-CN" w:eastAsia="zh-CN"/>
      </w:rPr>
    </w:tblStylePr>
    <w:tblStylePr w:type="nwCell">
      <w:rPr>
        <w:rFonts w:ascii="Noto Serif CJK SC" w:hAnsi="Noto Serif CJK SC" w:eastAsia="Noto Serif CJK SC" w:cs="Noto Serif CJK SC"/>
        <w:color w:val="000000" w:themeColor="text1"/>
        <w:lang w:val="zh-CN" w:eastAsia="zh-CN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000000" w:themeColor="text1"/>
      <w:lang w:val="zh-CN" w:eastAsia="zh-CN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rFonts w:ascii="Noto Serif CJK SC" w:hAnsi="Noto Serif CJK SC" w:eastAsia="Noto Serif CJK SC" w:cs="Noto Serif CJK SC"/>
        <w:color w:val="FFFFFF" w:themeColor="background1"/>
        <w:lang w:val="zh-CN" w:eastAsia="zh-CN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rFonts w:ascii="Noto Serif CJK SC" w:hAnsi="Noto Serif CJK SC" w:eastAsia="Noto Serif CJK SC" w:cs="Noto Serif CJK SC"/>
        <w:color w:val="FFFFFF" w:themeColor="background1"/>
        <w:lang w:val="zh-CN" w:eastAsia="zh-C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000000" w:themeColor="text1"/>
      <w:lang w:val="zh-CN" w:eastAsia="zh-CN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rFonts w:ascii="Noto Serif CJK SC" w:hAnsi="Noto Serif CJK SC" w:eastAsia="Noto Serif CJK SC" w:cs="Noto Serif CJK SC"/>
        <w:color w:val="FFFFFF" w:themeColor="background1"/>
        <w:lang w:val="zh-CN" w:eastAsia="zh-CN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rFonts w:ascii="Noto Serif CJK SC" w:hAnsi="Noto Serif CJK SC" w:eastAsia="Noto Serif CJK SC" w:cs="Noto Serif CJK SC"/>
        <w:color w:val="FFFFFF" w:themeColor="background1"/>
        <w:lang w:val="zh-CN" w:eastAsia="zh-C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rFonts w:ascii="Noto Serif CJK SC" w:hAnsi="Noto Serif CJK SC" w:eastAsia="Noto Serif CJK SC" w:cs="Noto Serif CJK SC"/>
        <w:color w:val="000000" w:themeColor="text1"/>
        <w:lang w:val="zh-CN" w:eastAsia="zh-CN"/>
      </w:rPr>
    </w:tblStylePr>
    <w:tblStylePr w:type="nwCell">
      <w:rPr>
        <w:rFonts w:ascii="Noto Serif CJK SC" w:hAnsi="Noto Serif CJK SC" w:eastAsia="Noto Serif CJK SC" w:cs="Noto Serif CJK SC"/>
        <w:color w:val="000000" w:themeColor="text1"/>
        <w:lang w:val="zh-CN" w:eastAsia="zh-CN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000000" w:themeColor="text1"/>
      <w:lang w:val="zh-CN" w:eastAsia="zh-CN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rFonts w:ascii="Noto Serif CJK SC" w:hAnsi="Noto Serif CJK SC" w:eastAsia="Noto Serif CJK SC" w:cs="Noto Serif CJK SC"/>
        <w:color w:val="FFFFFF" w:themeColor="background1"/>
        <w:lang w:val="zh-CN" w:eastAsia="zh-CN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rFonts w:ascii="Noto Serif CJK SC" w:hAnsi="Noto Serif CJK SC" w:eastAsia="Noto Serif CJK SC" w:cs="Noto Serif CJK SC"/>
        <w:color w:val="FFFFFF" w:themeColor="background1"/>
        <w:lang w:val="zh-CN" w:eastAsia="zh-C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rFonts w:ascii="Noto Serif CJK SC" w:hAnsi="Noto Serif CJK SC" w:eastAsia="Noto Serif CJK SC" w:cs="Noto Serif CJK SC"/>
        <w:color w:val="000000" w:themeColor="text1"/>
        <w:lang w:val="zh-CN" w:eastAsia="zh-CN"/>
      </w:rPr>
    </w:tblStylePr>
    <w:tblStylePr w:type="nwCell">
      <w:rPr>
        <w:rFonts w:ascii="Noto Serif CJK SC" w:hAnsi="Noto Serif CJK SC" w:eastAsia="Noto Serif CJK SC" w:cs="Noto Serif CJK SC"/>
        <w:color w:val="000000" w:themeColor="text1"/>
        <w:lang w:val="zh-CN" w:eastAsia="zh-CN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000000" w:themeColor="text1"/>
      <w:lang w:val="zh-CN" w:eastAsia="zh-CN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rFonts w:ascii="Noto Serif CJK SC" w:hAnsi="Noto Serif CJK SC" w:eastAsia="Noto Serif CJK SC" w:cs="Noto Serif CJK SC"/>
        <w:color w:val="FFFFFF" w:themeColor="background1"/>
        <w:lang w:val="zh-CN" w:eastAsia="zh-CN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rFonts w:ascii="Noto Serif CJK SC" w:hAnsi="Noto Serif CJK SC" w:eastAsia="Noto Serif CJK SC" w:cs="Noto Serif CJK SC"/>
        <w:color w:val="FFFFFF" w:themeColor="background1"/>
        <w:lang w:val="zh-CN" w:eastAsia="zh-CN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rFonts w:ascii="Noto Serif CJK SC" w:hAnsi="Noto Serif CJK SC" w:eastAsia="Noto Serif CJK SC" w:cs="Noto Serif CJK SC"/>
        <w:color w:val="000000" w:themeColor="text1"/>
        <w:lang w:val="zh-CN" w:eastAsia="zh-CN"/>
      </w:rPr>
    </w:tblStylePr>
    <w:tblStylePr w:type="nwCell">
      <w:rPr>
        <w:rFonts w:ascii="Noto Serif CJK SC" w:hAnsi="Noto Serif CJK SC" w:eastAsia="Noto Serif CJK SC" w:cs="Noto Serif CJK SC"/>
        <w:color w:val="000000" w:themeColor="text1"/>
        <w:lang w:val="zh-CN" w:eastAsia="zh-CN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000000" w:themeColor="text1"/>
      <w:lang w:val="zh-CN" w:eastAsia="zh-C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Noto Serif CJK SC" w:hAnsi="Noto Serif CJK SC" w:eastAsia="Noto Serif CJK SC" w:cs="Noto Serif CJK SC"/>
        <w:b/>
        <w:bCs/>
        <w:color w:val="9E3A38" w:themeColor="accent2" w:themeShade="CC"/>
        <w:lang w:val="zh-CN" w:eastAsia="zh-CN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000000" w:themeColor="text1"/>
      <w:lang w:val="zh-CN" w:eastAsia="zh-C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Noto Serif CJK SC" w:hAnsi="Noto Serif CJK SC" w:eastAsia="Noto Serif CJK SC" w:cs="Noto Serif CJK SC"/>
        <w:b/>
        <w:bCs/>
        <w:color w:val="9E3A38" w:themeColor="accent2" w:themeShade="CC"/>
        <w:lang w:val="zh-CN" w:eastAsia="zh-CN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000000" w:themeColor="text1"/>
      <w:lang w:val="zh-CN" w:eastAsia="zh-C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Noto Serif CJK SC" w:hAnsi="Noto Serif CJK SC" w:eastAsia="Noto Serif CJK SC" w:cs="Noto Serif CJK SC"/>
        <w:b/>
        <w:bCs/>
        <w:color w:val="9E3A38" w:themeColor="accent2" w:themeShade="CC"/>
        <w:lang w:val="zh-CN" w:eastAsia="zh-CN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000000" w:themeColor="text1"/>
      <w:lang w:val="zh-CN" w:eastAsia="zh-C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rFonts w:ascii="Noto Serif CJK SC" w:hAnsi="Noto Serif CJK SC" w:eastAsia="Noto Serif CJK SC" w:cs="Noto Serif CJK SC"/>
        <w:b/>
        <w:bCs/>
        <w:color w:val="664E82" w:themeColor="accent4" w:themeShade="CC"/>
        <w:lang w:val="zh-CN" w:eastAsia="zh-CN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000000" w:themeColor="text1"/>
      <w:lang w:val="zh-CN" w:eastAsia="zh-C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rFonts w:ascii="Noto Serif CJK SC" w:hAnsi="Noto Serif CJK SC" w:eastAsia="Noto Serif CJK SC" w:cs="Noto Serif CJK SC"/>
        <w:b/>
        <w:bCs/>
        <w:color w:val="7E9C40" w:themeColor="accent3" w:themeShade="CC"/>
        <w:lang w:val="zh-CN" w:eastAsia="zh-CN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000000" w:themeColor="text1"/>
      <w:lang w:val="zh-CN" w:eastAsia="zh-C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rFonts w:ascii="Noto Serif CJK SC" w:hAnsi="Noto Serif CJK SC" w:eastAsia="Noto Serif CJK SC" w:cs="Noto Serif CJK SC"/>
        <w:b/>
        <w:bCs/>
        <w:color w:val="F2730A" w:themeColor="accent6" w:themeShade="CC"/>
        <w:lang w:val="zh-CN" w:eastAsia="zh-CN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000000" w:themeColor="text1"/>
      <w:lang w:val="zh-CN" w:eastAsia="zh-CN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rFonts w:ascii="Noto Serif CJK SC" w:hAnsi="Noto Serif CJK SC" w:eastAsia="Noto Serif CJK SC" w:cs="Noto Serif CJK SC"/>
        <w:b/>
        <w:bCs/>
        <w:color w:val="FFFFFF" w:themeColor="background1"/>
        <w:lang w:val="zh-CN" w:eastAsia="zh-CN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rFonts w:ascii="Noto Serif CJK SC" w:hAnsi="Noto Serif CJK SC" w:eastAsia="Noto Serif CJK SC" w:cs="Noto Serif CJK SC"/>
        <w:b/>
        <w:bCs/>
        <w:color w:val="348DA5" w:themeColor="accent5" w:themeShade="CC"/>
        <w:lang w:val="zh-CN" w:eastAsia="zh-CN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lastCol">
      <w:rPr>
        <w:rFonts w:ascii="Noto Serif CJK SC" w:hAnsi="Noto Serif CJK SC" w:eastAsia="Noto Serif CJK SC" w:cs="Noto Serif CJK SC"/>
        <w:b/>
        <w:bCs/>
        <w:lang w:val="zh-CN" w:eastAsia="zh-CN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000000" w:themeColor="text1"/>
      <w:lang w:val="zh-CN" w:eastAsia="zh-C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shd w:val="clear" w:color="auto" w:fill="999999" w:themeFill="text1" w:themeFillTint="66"/>
      </w:tcPr>
    </w:tblStylePr>
    <w:tblStylePr w:type="lastRow">
      <w:rPr>
        <w:rFonts w:ascii="Noto Serif CJK SC" w:hAnsi="Noto Serif CJK SC" w:eastAsia="Noto Serif CJK SC" w:cs="Noto Serif CJK SC"/>
        <w:b/>
        <w:bCs/>
        <w:color w:val="000000" w:themeColor="text1"/>
        <w:lang w:val="zh-CN" w:eastAsia="zh-CN"/>
      </w:rPr>
      <w:tblPr/>
      <w:tcPr>
        <w:shd w:val="clear" w:color="auto" w:fill="999999" w:themeFill="text1" w:themeFillTint="66"/>
      </w:tcPr>
    </w:tblStylePr>
    <w:tblStylePr w:type="firstCol">
      <w:rPr>
        <w:rFonts w:ascii="Noto Serif CJK SC" w:hAnsi="Noto Serif CJK SC" w:eastAsia="Noto Serif CJK SC" w:cs="Noto Serif CJK SC"/>
        <w:color w:val="FFFFFF" w:themeColor="background1"/>
        <w:lang w:val="zh-CN" w:eastAsia="zh-CN"/>
      </w:rPr>
      <w:tblPr/>
      <w:tcPr>
        <w:shd w:val="clear" w:color="auto" w:fill="000000" w:themeFill="text1" w:themeFillShade="BF"/>
      </w:tcPr>
    </w:tblStylePr>
    <w:tblStylePr w:type="lastCol">
      <w:rPr>
        <w:rFonts w:ascii="Noto Serif CJK SC" w:hAnsi="Noto Serif CJK SC" w:eastAsia="Noto Serif CJK SC" w:cs="Noto Serif CJK SC"/>
        <w:color w:val="FFFFFF" w:themeColor="background1"/>
        <w:lang w:val="zh-CN" w:eastAsia="zh-CN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000000" w:themeColor="text1"/>
      <w:lang w:val="zh-CN" w:eastAsia="zh-C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shd w:val="clear" w:color="auto" w:fill="B8CCE4" w:themeFill="accent1" w:themeFillTint="66"/>
      </w:tcPr>
    </w:tblStylePr>
    <w:tblStylePr w:type="lastRow">
      <w:rPr>
        <w:rFonts w:ascii="Noto Serif CJK SC" w:hAnsi="Noto Serif CJK SC" w:eastAsia="Noto Serif CJK SC" w:cs="Noto Serif CJK SC"/>
        <w:b/>
        <w:bCs/>
        <w:color w:val="000000" w:themeColor="text1"/>
        <w:lang w:val="zh-CN" w:eastAsia="zh-CN"/>
      </w:rPr>
      <w:tblPr/>
      <w:tcPr>
        <w:shd w:val="clear" w:color="auto" w:fill="B8CCE4" w:themeFill="accent1" w:themeFillTint="66"/>
      </w:tcPr>
    </w:tblStylePr>
    <w:tblStylePr w:type="firstCol">
      <w:rPr>
        <w:rFonts w:ascii="Noto Serif CJK SC" w:hAnsi="Noto Serif CJK SC" w:eastAsia="Noto Serif CJK SC" w:cs="Noto Serif CJK SC"/>
        <w:color w:val="FFFFFF" w:themeColor="background1"/>
        <w:lang w:val="zh-CN" w:eastAsia="zh-CN"/>
      </w:rPr>
      <w:tblPr/>
      <w:tcPr>
        <w:shd w:val="clear" w:color="auto" w:fill="365F91" w:themeFill="accent1" w:themeFillShade="BF"/>
      </w:tcPr>
    </w:tblStylePr>
    <w:tblStylePr w:type="lastCol">
      <w:rPr>
        <w:rFonts w:ascii="Noto Serif CJK SC" w:hAnsi="Noto Serif CJK SC" w:eastAsia="Noto Serif CJK SC" w:cs="Noto Serif CJK SC"/>
        <w:color w:val="FFFFFF" w:themeColor="background1"/>
        <w:lang w:val="zh-CN" w:eastAsia="zh-CN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000000" w:themeColor="text1"/>
      <w:lang w:val="zh-CN" w:eastAsia="zh-C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shd w:val="clear" w:color="auto" w:fill="E5B8B7" w:themeFill="accent2" w:themeFillTint="66"/>
      </w:tcPr>
    </w:tblStylePr>
    <w:tblStylePr w:type="lastRow">
      <w:rPr>
        <w:rFonts w:ascii="Noto Serif CJK SC" w:hAnsi="Noto Serif CJK SC" w:eastAsia="Noto Serif CJK SC" w:cs="Noto Serif CJK SC"/>
        <w:b/>
        <w:bCs/>
        <w:color w:val="000000" w:themeColor="text1"/>
        <w:lang w:val="zh-CN" w:eastAsia="zh-CN"/>
      </w:rPr>
      <w:tblPr/>
      <w:tcPr>
        <w:shd w:val="clear" w:color="auto" w:fill="E5B8B7" w:themeFill="accent2" w:themeFillTint="66"/>
      </w:tcPr>
    </w:tblStylePr>
    <w:tblStylePr w:type="firstCol">
      <w:rPr>
        <w:rFonts w:ascii="Noto Serif CJK SC" w:hAnsi="Noto Serif CJK SC" w:eastAsia="Noto Serif CJK SC" w:cs="Noto Serif CJK SC"/>
        <w:color w:val="FFFFFF" w:themeColor="background1"/>
        <w:lang w:val="zh-CN" w:eastAsia="zh-CN"/>
      </w:rPr>
      <w:tblPr/>
      <w:tcPr>
        <w:shd w:val="clear" w:color="auto" w:fill="943634" w:themeFill="accent2" w:themeFillShade="BF"/>
      </w:tcPr>
    </w:tblStylePr>
    <w:tblStylePr w:type="lastCol">
      <w:rPr>
        <w:rFonts w:ascii="Noto Serif CJK SC" w:hAnsi="Noto Serif CJK SC" w:eastAsia="Noto Serif CJK SC" w:cs="Noto Serif CJK SC"/>
        <w:color w:val="FFFFFF" w:themeColor="background1"/>
        <w:lang w:val="zh-CN" w:eastAsia="zh-CN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000000" w:themeColor="text1"/>
      <w:lang w:val="zh-CN" w:eastAsia="zh-C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shd w:val="clear" w:color="auto" w:fill="D6E3BC" w:themeFill="accent3" w:themeFillTint="66"/>
      </w:tcPr>
    </w:tblStylePr>
    <w:tblStylePr w:type="lastRow">
      <w:rPr>
        <w:rFonts w:ascii="Noto Serif CJK SC" w:hAnsi="Noto Serif CJK SC" w:eastAsia="Noto Serif CJK SC" w:cs="Noto Serif CJK SC"/>
        <w:b/>
        <w:bCs/>
        <w:color w:val="000000" w:themeColor="text1"/>
        <w:lang w:val="zh-CN" w:eastAsia="zh-CN"/>
      </w:rPr>
      <w:tblPr/>
      <w:tcPr>
        <w:shd w:val="clear" w:color="auto" w:fill="D6E3BC" w:themeFill="accent3" w:themeFillTint="66"/>
      </w:tcPr>
    </w:tblStylePr>
    <w:tblStylePr w:type="firstCol">
      <w:rPr>
        <w:rFonts w:ascii="Noto Serif CJK SC" w:hAnsi="Noto Serif CJK SC" w:eastAsia="Noto Serif CJK SC" w:cs="Noto Serif CJK SC"/>
        <w:color w:val="FFFFFF" w:themeColor="background1"/>
        <w:lang w:val="zh-CN" w:eastAsia="zh-CN"/>
      </w:rPr>
      <w:tblPr/>
      <w:tcPr>
        <w:shd w:val="clear" w:color="auto" w:fill="76923C" w:themeFill="accent3" w:themeFillShade="BF"/>
      </w:tcPr>
    </w:tblStylePr>
    <w:tblStylePr w:type="lastCol">
      <w:rPr>
        <w:rFonts w:ascii="Noto Serif CJK SC" w:hAnsi="Noto Serif CJK SC" w:eastAsia="Noto Serif CJK SC" w:cs="Noto Serif CJK SC"/>
        <w:color w:val="FFFFFF" w:themeColor="background1"/>
        <w:lang w:val="zh-CN" w:eastAsia="zh-CN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000000" w:themeColor="text1"/>
      <w:lang w:val="zh-CN" w:eastAsia="zh-C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shd w:val="clear" w:color="auto" w:fill="CCC0D9" w:themeFill="accent4" w:themeFillTint="66"/>
      </w:tcPr>
    </w:tblStylePr>
    <w:tblStylePr w:type="lastRow">
      <w:rPr>
        <w:rFonts w:ascii="Noto Serif CJK SC" w:hAnsi="Noto Serif CJK SC" w:eastAsia="Noto Serif CJK SC" w:cs="Noto Serif CJK SC"/>
        <w:b/>
        <w:bCs/>
        <w:color w:val="000000" w:themeColor="text1"/>
        <w:lang w:val="zh-CN" w:eastAsia="zh-CN"/>
      </w:rPr>
      <w:tblPr/>
      <w:tcPr>
        <w:shd w:val="clear" w:color="auto" w:fill="CCC0D9" w:themeFill="accent4" w:themeFillTint="66"/>
      </w:tcPr>
    </w:tblStylePr>
    <w:tblStylePr w:type="firstCol">
      <w:rPr>
        <w:rFonts w:ascii="Noto Serif CJK SC" w:hAnsi="Noto Serif CJK SC" w:eastAsia="Noto Serif CJK SC" w:cs="Noto Serif CJK SC"/>
        <w:color w:val="FFFFFF" w:themeColor="background1"/>
        <w:lang w:val="zh-CN" w:eastAsia="zh-CN"/>
      </w:rPr>
      <w:tblPr/>
      <w:tcPr>
        <w:shd w:val="clear" w:color="auto" w:fill="5F497A" w:themeFill="accent4" w:themeFillShade="BF"/>
      </w:tcPr>
    </w:tblStylePr>
    <w:tblStylePr w:type="lastCol">
      <w:rPr>
        <w:rFonts w:ascii="Noto Serif CJK SC" w:hAnsi="Noto Serif CJK SC" w:eastAsia="Noto Serif CJK SC" w:cs="Noto Serif CJK SC"/>
        <w:color w:val="FFFFFF" w:themeColor="background1"/>
        <w:lang w:val="zh-CN" w:eastAsia="zh-CN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000000" w:themeColor="text1"/>
      <w:lang w:val="zh-CN" w:eastAsia="zh-C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shd w:val="clear" w:color="auto" w:fill="B6DDE8" w:themeFill="accent5" w:themeFillTint="66"/>
      </w:tcPr>
    </w:tblStylePr>
    <w:tblStylePr w:type="lastRow">
      <w:rPr>
        <w:rFonts w:ascii="Noto Serif CJK SC" w:hAnsi="Noto Serif CJK SC" w:eastAsia="Noto Serif CJK SC" w:cs="Noto Serif CJK SC"/>
        <w:b/>
        <w:bCs/>
        <w:color w:val="000000" w:themeColor="text1"/>
        <w:lang w:val="zh-CN" w:eastAsia="zh-CN"/>
      </w:rPr>
      <w:tblPr/>
      <w:tcPr>
        <w:shd w:val="clear" w:color="auto" w:fill="B6DDE8" w:themeFill="accent5" w:themeFillTint="66"/>
      </w:tcPr>
    </w:tblStylePr>
    <w:tblStylePr w:type="firstCol">
      <w:rPr>
        <w:rFonts w:ascii="Noto Serif CJK SC" w:hAnsi="Noto Serif CJK SC" w:eastAsia="Noto Serif CJK SC" w:cs="Noto Serif CJK SC"/>
        <w:color w:val="FFFFFF" w:themeColor="background1"/>
        <w:lang w:val="zh-CN" w:eastAsia="zh-CN"/>
      </w:rPr>
      <w:tblPr/>
      <w:tcPr>
        <w:shd w:val="clear" w:color="auto" w:fill="31849B" w:themeFill="accent5" w:themeFillShade="BF"/>
      </w:tcPr>
    </w:tblStylePr>
    <w:tblStylePr w:type="lastCol">
      <w:rPr>
        <w:rFonts w:ascii="Noto Serif CJK SC" w:hAnsi="Noto Serif CJK SC" w:eastAsia="Noto Serif CJK SC" w:cs="Noto Serif CJK SC"/>
        <w:color w:val="FFFFFF" w:themeColor="background1"/>
        <w:lang w:val="zh-CN" w:eastAsia="zh-CN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  <w:textAlignment w:val="baseline"/>
      <w:kinsoku w:val="1"/>
      <w:snapToGrid w:val="0"/>
    </w:pPr>
    <w:rPr>
      <w:rFonts w:ascii="Noto Serif CJK SC" w:hAnsi="Noto Serif CJK SC" w:eastAsia="Noto Serif CJK SC" w:cs="Noto Serif CJK SC"/>
      <w:color w:val="000000" w:themeColor="text1"/>
      <w:lang w:val="zh-CN" w:eastAsia="zh-CN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rFonts w:ascii="Noto Serif CJK SC" w:hAnsi="Noto Serif CJK SC" w:eastAsia="Noto Serif CJK SC" w:cs="Noto Serif CJK SC"/>
        <w:b/>
        <w:bCs/>
        <w:lang w:val="zh-CN" w:eastAsia="zh-CN"/>
      </w:rPr>
      <w:tblPr/>
      <w:tcPr>
        <w:shd w:val="clear" w:color="auto" w:fill="FBD4B4" w:themeFill="accent6" w:themeFillTint="66"/>
      </w:tcPr>
    </w:tblStylePr>
    <w:tblStylePr w:type="lastRow">
      <w:rPr>
        <w:rFonts w:ascii="Noto Serif CJK SC" w:hAnsi="Noto Serif CJK SC" w:eastAsia="Noto Serif CJK SC" w:cs="Noto Serif CJK SC"/>
        <w:b/>
        <w:bCs/>
        <w:color w:val="000000" w:themeColor="text1"/>
        <w:lang w:val="zh-CN" w:eastAsia="zh-CN"/>
      </w:rPr>
      <w:tblPr/>
      <w:tcPr>
        <w:shd w:val="clear" w:color="auto" w:fill="FBD4B4" w:themeFill="accent6" w:themeFillTint="66"/>
      </w:tcPr>
    </w:tblStylePr>
    <w:tblStylePr w:type="firstCol">
      <w:rPr>
        <w:rFonts w:ascii="Noto Serif CJK SC" w:hAnsi="Noto Serif CJK SC" w:eastAsia="Noto Serif CJK SC" w:cs="Noto Serif CJK SC"/>
        <w:color w:val="FFFFFF" w:themeColor="background1"/>
        <w:lang w:val="zh-CN" w:eastAsia="zh-CN"/>
      </w:rPr>
      <w:tblPr/>
      <w:tcPr>
        <w:shd w:val="clear" w:color="auto" w:fill="E36C0A" w:themeFill="accent6" w:themeFillShade="BF"/>
      </w:tcPr>
    </w:tblStylePr>
    <w:tblStylePr w:type="lastCol">
      <w:rPr>
        <w:rFonts w:ascii="Noto Serif CJK SC" w:hAnsi="Noto Serif CJK SC" w:eastAsia="Noto Serif CJK SC" w:cs="Noto Serif CJK SC"/>
        <w:color w:val="FFFFFF" w:themeColor="background1"/>
        <w:lang w:val="zh-CN" w:eastAsia="zh-CN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Relationship Id="rId33" Type="http://schemas.openxmlformats.org/officeDocument/2006/relationships/image" Target="media/image21.png"/><Relationship Id="rId34" Type="http://schemas.openxmlformats.org/officeDocument/2006/relationships/image" Target="media/image22.png"/><Relationship Id="rId35" Type="http://schemas.openxmlformats.org/officeDocument/2006/relationships/image" Target="media/image23.png"/><Relationship Id="rId36" Type="http://schemas.openxmlformats.org/officeDocument/2006/relationships/image" Target="media/image24.png"/><Relationship Id="rId37" Type="http://schemas.openxmlformats.org/officeDocument/2006/relationships/image" Target="media/image25.png"/><Relationship Id="rId38" Type="http://schemas.openxmlformats.org/officeDocument/2006/relationships/image" Target="media/image26.png"/><Relationship Id="rId39" Type="http://schemas.openxmlformats.org/officeDocument/2006/relationships/image" Target="media/image27.png"/><Relationship Id="rId40" Type="http://schemas.openxmlformats.org/officeDocument/2006/relationships/image" Target="media/image28.png"/><Relationship Id="rId41" Type="http://schemas.openxmlformats.org/officeDocument/2006/relationships/image" Target="media/image29.png"/><Relationship Id="rId42" Type="http://schemas.openxmlformats.org/officeDocument/2006/relationships/image" Target="media/image30.png"/><Relationship Id="rId43" Type="http://schemas.openxmlformats.org/officeDocument/2006/relationships/header" Target="header3.xml"/><Relationship Id="rId44" Type="http://schemas.openxmlformats.org/officeDocument/2006/relationships/footer" Target="footer3.xml"/><Relationship Id="rId45" Type="http://schemas.openxmlformats.org/officeDocument/2006/relationships/image" Target="media/image31.png"/><Relationship Id="rId46" Type="http://schemas.openxmlformats.org/officeDocument/2006/relationships/image" Target="media/image32.png"/><Relationship Id="rId47" Type="http://schemas.openxmlformats.org/officeDocument/2006/relationships/image" Target="media/image33.png"/><Relationship Id="rId48" Type="http://schemas.openxmlformats.org/officeDocument/2006/relationships/image" Target="media/image34.png"/><Relationship Id="rId49" Type="http://schemas.openxmlformats.org/officeDocument/2006/relationships/image" Target="media/image35.png"/><Relationship Id="rId50" Type="http://schemas.openxmlformats.org/officeDocument/2006/relationships/image" Target="media/image36.png"/><Relationship Id="rId51" Type="http://schemas.openxmlformats.org/officeDocument/2006/relationships/image" Target="media/image37.png"/><Relationship Id="rId52" Type="http://schemas.openxmlformats.org/officeDocument/2006/relationships/image" Target="media/image38.png"/><Relationship Id="rId53" Type="http://schemas.openxmlformats.org/officeDocument/2006/relationships/image" Target="media/image39.png"/><Relationship Id="rId54" Type="http://schemas.openxmlformats.org/officeDocument/2006/relationships/header" Target="header4.xml"/><Relationship Id="rId55" Type="http://schemas.openxmlformats.org/officeDocument/2006/relationships/footer" Target="footer4.xml"/><Relationship Id="rId56" Type="http://schemas.openxmlformats.org/officeDocument/2006/relationships/header" Target="header5.xml"/><Relationship Id="rId57" Type="http://schemas.openxmlformats.org/officeDocument/2006/relationships/footer" Target="footer5.xml"/><Relationship Id="rId58" Type="http://schemas.openxmlformats.org/officeDocument/2006/relationships/header" Target="header6.xml"/><Relationship Id="rId59" Type="http://schemas.openxmlformats.org/officeDocument/2006/relationships/footer" Target="footer6.xml"/><Relationship Id="rId60" Type="http://schemas.openxmlformats.org/officeDocument/2006/relationships/image" Target="media/image40.png"/><Relationship Id="rId61" Type="http://schemas.openxmlformats.org/officeDocument/2006/relationships/image" Target="media/image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ADC 牙科连锁运营管理系统分析与设计</dc:title>
  <dc:subject>R2.4.1 主机运行保障阶段报告</dc:subject>
  <dc:creator>张加良</dc:creator>
  <cp:keywords>系统分析与设计 财务 设备 通知监测 独立恢复 合成数据</cp:keywords>
  <dc:description/>
  <cp:lastModifiedBy/>
  <cp:revision>1</cp:revision>
  <dcterms:created xsi:type="dcterms:W3CDTF">2013-12-23T23:15:00Z</dcterms:created>
  <dcterms:modified xsi:type="dcterms:W3CDTF">2013-12-23T23:15:00Z</dcterms:modified>
  <cp:category/>
  <cp:version>R4.4</cp:version>
</cp:coreProperties>
</file>