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2026-10-23</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患者可在本人范围内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48</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54</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55</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55</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57</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57</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57</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58</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59</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61</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78</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95</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监护授权、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59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59项编号业务用例和1项共享核验。附录A为SU-01—25及SF-01，附录B为SU-26—38，附录C为SU-39—59。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SU-39—40、54、57—59</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{电话接待、完整建档、网站选约、本人改期、候补替换}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实际关系表和外键分为预约接待、服务适配、资源占用、诊疗资金、排班协调及患者改期六个视图。实测共70张表，包含框架及连接表；170条普通关系与1条账单复合外键均可核对。服务说明通过唯一服务外键关联预约目录；患者网站和小程序复用同一预约、授权与资源结构，不另建重复资金或临床实体。</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4178618"/>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4178618"/>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患者授权与网站确认回执复用既有表；nonce唯一，visit_id唯一。预约自引用可空且唯一，构成原约与后继。邀约和取消跟进保留各自原关联，不因后续改期改写；同店本人范围和活动状态由事务命令核验，不能从外键推定权限。</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模块职责 → {接待、排班、临床、资金、设备} → 实际外键与唯一关系 → {原新预约、确认回执、资源方案、候补事实} → 状态与权限分别核验。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主管核对范围、费用及准备后明确发布；患者网站和小程序选择同一已发布服务，儿童代办交前台。</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本人未来预约、本店同服务；普通时段与本人有效邀约均须预览并确认，失败保留原约。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4" name="Picture 54"/>
            <wp:cNvGraphicFramePr>
              <a:graphicFrameLocks noChangeAspect="1"/>
            </wp:cNvGraphicFramePr>
            <a:graphic>
              <a:graphicData uri="http://schemas.openxmlformats.org/drawingml/2006/picture">
                <pic:pic>
                  <pic:nvPicPr>
                    <pic:cNvPr id="0" name="finance-form-ux2.png"/>
                    <pic:cNvPicPr/>
                  </pic:nvPicPr>
                  <pic:blipFill>
                    <a:blip r:embed="rId81"/>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1,095项逻辑规则及1,474项数据库、请求和并发测试，涵盖已发布服务、签名需求、本人预约、候补与既有诊疗财务流程。真实数据库验证下架、旧预览、重复确认、跨店访问及未知／零元费用；测试总量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当前十一页原生工程通过官方离线语法编译，仍需独立完成微信运行时、手机和体验版验证。</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多渠道预约、前台排班、接诊结算及资金设备协同。后续面向单一连锁的独立部署，依次补齐身份与专业权限、连续诊疗、临床签署归档、处方药事和材料执行；不能以预约或账单记录替代完整临床系统。</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结构化检查、牙位牙面、多次就诊计划与复诊责任。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由专业人员核对服务适用字段；计划、实际执行及计费分别保留。</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和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小程序使用分配的课程账号登录，共用本人授权与资源核验；本地客户端已联通预约服务。微信开发者工具、真机及体验版发布须单独验收，不把微信请求来源当作患者身份。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当前诊所前台；患者在本人范围取消预约，或按SU-40申请自助改期。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网站与小程序的本人普通改期见SU-40；候补邀约替换暂由网站或前台办理。取消与改期不混计，技术请求重复不能产生重复业务效果。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本附录补充SU-39—59。电话接待、多资源核对、患者自助改期及资源目录规约说明现有业务。取消分析、财务与设备的原规则继续保留；每项实现范围与验收目标分别列明。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儿童代办：交前台核验，不以阅读说明授予监护或代约权限。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患者服务与诊所业务协同版</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