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2026-10-21</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患者可在本人范围内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Patients explicitly confirm replacements while original promises and accepted-offer history remain traceable.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浏览器访问与模块化结构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48</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51</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51</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53</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54</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54</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57</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58</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60</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77</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94</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范围包括患者资料、电话与网站预约、到诊及治疗、结算与资金核对、候补和排班协调、设备维护、经营分析及账号权限。电话接待、责任联系、统一椅位设备核对、前台排班和患者网站自助改期均已实现；小程序和连续诊疗计划为后续范围。</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58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浏览器访问与模块化结构</w:t>
      </w:r>
    </w:p>
    <w:p>
      <w:pPr>
        <w:spacing w:after="0"/>
      </w:pPr>
      <w:r>
        <w:rPr>
          <w:rFonts w:ascii="Liberation Serif" w:hAnsi="Liberation Serif" w:eastAsia="Noto Serif CJK SC"/>
          <w:b w:val="0"/>
          <w:color w:val="000000"/>
          <w:sz w:val="24"/>
          <w:lang w:val="en-US" w:eastAsia="en-US"/>
        </w:rPr>
        <w:t>采用B/S结构，使员工和患者通过网站访问统一业务记录。移动网站先满足手机预约需求；小程序可作为后续界面渠道接入同一预约服务，患者身份、可用时段、确认和取消规则保持一致。</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58项编号业务用例和1项共享核验。附录A为SU-01—25及SF-01，附录B为SU-26—38，附录C为SU-39—58。电话接待关注咨询与联系，SU-04关注正式成约；网站和未来小程序属于SU-04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登录选店、患者资料、账号与基础目录。</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SU-39—40、54、57—58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公开自注册和小程序尚未接入。</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spacing w:after="120"/>
        <w:ind w:firstLine="0"/>
      </w:pPr>
      <w:r>
        <w:rPr>
          <w:rFonts w:ascii="Liberation Serif" w:hAnsi="Liberation Serif" w:eastAsia="Noto Serif CJK SC"/>
          <w:b w:val="0"/>
          <w:color w:val="000000"/>
          <w:sz w:val="21"/>
          <w:lang w:val="en-US" w:eastAsia="en-US"/>
        </w:rPr>
        <w:t>思维导图  预约需求 → {电话接待、完整建档、网站选约、本人改期、候补替换} → 明确同意 → 统一资源核验 → {唯一成约、失败保留、取消跟进}。</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直接成约调用统一预约操作，预约、资源占用和接待关联在同一事务完成；失败不留下部分结果，重复确认返回当前已保存结果。候补已成功时关联原预约，不能再创建一条。患者网站沿用本人绑定授权，不把业务编号当作登录凭据。</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设计依据实际关系表和外键表达，分为预约接待、服务适配、资源占用、诊疗资金、排班协调及患者改期六个视图。图中选取关键字段；系统共69张表，含框架及连接表，169条普通关系与1条账单复合外键均已核对。患者改期复用原有唯一后继及确认回执，没有另建重复预约或取消记录。</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5181308" cy="504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5181308" cy="504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369745"/>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3697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服务与医师的多对多关系通过真实连接表实现；科室开放区间与医师出诊区间分别保存，共同参与预约核验。</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4178618"/>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4178618"/>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患者授权与网站确认回执复用既有表；nonce唯一，visit_id唯一。预约自引用可空且唯一，构成原约与后继。邀约和取消跟进保留各自原关联，不因后续改期改写；同店本人范围和活动状态由事务命令核验，不能从外键推定权限。</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模块职责 → {接待、排班、临床、资金、设备} → 实际外键与唯一关系 → {原新预约、确认回执、资源方案、候补事实} → 状态与权限分别核验。</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须由受控账号绑定本人档案；不含公开自注册。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本人未来预约、本店同服务；普通时段与本人有效邀约均须预览并确认，失败保留原约。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小程序预约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待接入</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先完善移动网站；后续复用同一预约服务。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54" name="Picture 54"/>
            <wp:cNvGraphicFramePr>
              <a:graphicFrameLocks noChangeAspect="1"/>
            </wp:cNvGraphicFramePr>
            <a:graphic>
              <a:graphicData uri="http://schemas.openxmlformats.org/drawingml/2006/picture">
                <pic:pic>
                  <pic:nvPicPr>
                    <pic:cNvPr id="0" name="finance-form-ux2.png"/>
                    <pic:cNvPicPr/>
                  </pic:nvPicPr>
                  <pic:blipFill>
                    <a:blip r:embed="rId81"/>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完整回归通过1,046项逻辑规则及1,345项数据库、请求和并发测试。其中46项新增验证针对患者改期、本人权限、当前资源、候补保留、失效预览、历史追踪与并发；测试总量说明执行范围，不代表所有运营情境均已覆盖。</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42项触发器定义和启用状态一致；回执、资源方案、候补接受历史和取消跟进关联均保留。</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以业务问题关联用例、设计责任和验收条件。原AT-01—25及维护协同编号保留，AT-B补充可观察场景；自动测试总量不等于用例覆盖率，小程序与真实运营效果仍需单独验证。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本人同店同服务；原新方案明确确认；候补原子接受；重复确认唯一；失败保留原约，取消另行跟进。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业务实现 → {五店跨岗位、患者改期、候补与取消、接诊结算} → {规则、真实数据库、并发、浏览器、负载、独立恢复} → 事实可复核与范围说明。</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患者网站自助改期、当前结果查询和人工协助已经实现，并与前台排班、候补及取消跟进衔接。下一阶段再推进小程序渠道与连续诊疗；上线与运营效果按实际可办理场景单独评价。</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已完成：取消闭环</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按时段分析、核实原因、责任联系、措施执行与独立复核。</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合成场景与独立核算通过；实际改善仍需完整运营观察。</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已完成：电话接待</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咨询登记、联络核实、候选协商、责任联系及唯一成约。</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完整建档与明确同意；沟通历史、未成约原因和候补关联可核对。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已完成：资源协同</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服务时长、科室开放、诊室椅位、设备占用及故障协调。</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统一资源规则；原承诺保护；兼容替换、接诊复核与恢复验证。</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已完成：前台排班</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出诊维护、接收控制和候补发布由前台办理，日周视图显示原承诺与资源。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本店授权、跨店医师冲突、重复提交、责任期限与独立复核。</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已完成：数据库关系核对</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六幅ER与完整字段、外键目录同步实际结构；患者改期复用原有唯一后继和确认回执。</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69表、170条外键、42项触发器与39份迁移可核对；图示关系不代替业务授权。</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已完成：患者手机服务</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网站选约、自助改期、本人候补替换、结果查询及人工协助。</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本人授权、原约保护、唯一结果、窄屏键盘操作及接诊结算衔接。</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B1.5 小程序渠道</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共享预约库存与规则，接入患者身份。</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独立身份验证和渠道测试；网站与小程序不产生重复预约。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B2 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多次就诊计划、复诊和随访责任。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计划不等于实际治疗；修订与执行关联；后续服务可跟进。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系统运行的独立公网、长期稳定性及更大规模验证仍需后续完成。真实支付、保险、跨币种会计和临床自动判断不属于本报告所承诺的功能。后续开发以本章业务顺序和场景完成条件为依据。</w:t>
      </w:r>
    </w:p>
    <w:p>
      <w:pPr>
        <w:spacing w:after="120"/>
        <w:ind w:firstLine="0"/>
      </w:pPr>
      <w:r>
        <w:rPr>
          <w:rFonts w:ascii="Liberation Serif" w:hAnsi="Liberation Serif" w:eastAsia="Noto Serif CJK SC"/>
          <w:b w:val="0"/>
          <w:color w:val="000000"/>
          <w:sz w:val="21"/>
          <w:lang w:val="en-US" w:eastAsia="en-US"/>
        </w:rPr>
        <w:t>思维导图  已完成 → {取消改进、电话接待、资源协同、前台排班、患者自助改期、数据库关系} → 小程序 → 连续诊疗；按完整场景评价成效。</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已绑定患者账号，或当前诊所前台；患者通过网站、电话或现场明确提出预约。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完整有效患者档案、可接收的出诊；已启用诊所提供服务和资源目录，工作人员有当前店权限，患者账号绑定本人。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本附录补充SU-39—58。电话接待、多资源核对、患者自助改期及资源目录规约说明现有业务。取消分析、财务与设备的原规则继续保留；每项实现范围与验收目标分别列明。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已实现：患者网站自助改期及本人有效候补邀约替换。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患者自助改期与业务协同版</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