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v0.7 实测反馈修订</w:t>
        <w:br/>
        <w:t>与 v0.8 第一增量</w:t>
      </w:r>
    </w:p>
    <w:p>
      <w:r>
        <w:t>系统说明补充文件  |  2026年9月27日</w:t>
      </w:r>
    </w:p>
    <w:p>
      <w:r>
        <w:t>逻辑链：实测问题 → 需求变更 → 受控修订 → 账号治理 → 分层验证 → 后续开发。</w:t>
      </w:r>
    </w:p>
    <w:p>
      <w:r>
        <w:t>本文件补充既有系统报告，不替换教师要求的愿景、业务用例图、现状／改进业务序列图、系统用例图和用例规约。旧报告中“单身份也必须选择角色”的规则由本文件的新规则取代；原版证据不倒改。</w:t>
      </w:r>
    </w:p>
    <w:p>
      <w:pPr>
        <w:pStyle w:val="Heading1"/>
      </w:pPr>
      <w:r>
        <w:t>01 交付范围与版本基线</w:t>
      </w:r>
    </w:p>
    <w:p>
      <w:r>
        <w:t>当前用户本地运行 v0.7，已提供工作台、候补接受和过期上下文拒绝等截图。不能从截图推导全部数据库写入、并发和权限已验证。本轮以归档 v0.7 源码为基线，在独立目录修改，没有访问或修改用户电脑、数据库、.env 或 API Key。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本次状态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P1修复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单身份自动激活；候补合法时间选项；清楚的规则及字段错误；主管候补到排程入口。源码已写入。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v0.8开发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WP-01账号维护的第一部分已编码，新增真实路由、表单、服务与测试。没有把剩余工作包改成“已完成”。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交付级别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0.8.0-alpha.1：开发验收包，非v0.8-RC、非公网或真实医疗产品。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不改变的事实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原13份迁移逐文件哈希保持一致；无新增表／字段；既有业务编号、历史账单和密码不由升级脚本重置。</w:t>
            </w:r>
          </w:p>
        </w:tc>
      </w:tr>
    </w:tbl>
    <w:p>
      <w:pPr>
        <w:pStyle w:val="Heading2"/>
      </w:pPr>
      <w:r>
        <w:t>实施依据</w:t>
      </w:r>
    </w:p>
    <w:p>
      <w:r>
        <w:t>课程笔记 note__2 第4页要求按增量交付有用的子集；note__3 第1、4、11页强调追踪、可测试性和操作前后条件。右述规则是本项目对用户反馈的落实，不是讲义已经指定的ADC实现。</w:t>
      </w:r>
    </w:p>
    <w:p>
      <w:r>
        <w:t>本轮采取：输入控件、时间政策与后端校验分离；身份激活复用同一服务；账号管理不赋予临床或财务权限。具体机制仍须真实回归验证。</w:t>
      </w:r>
    </w:p>
    <w:p>
      <w:r>
        <w:t>模块总结：保留v0.7 → 修复已知阻碍 → 进入WP-01 → 在证据边界内交付。</w:t>
      </w:r>
    </w:p>
    <w:p>
      <w:r>
        <w:br w:type="page"/>
      </w:r>
    </w:p>
    <w:p>
      <w:pPr>
        <w:pStyle w:val="Heading1"/>
      </w:pPr>
      <w:r>
        <w:t>02 四项P1与相邻体验修订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新的可验证规则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UX-12／13</w:t>
              <w:br/>
              <w:t>身份选择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登录POST后：0个有效角色显示无身份说明，1个由服务器激活并直接进入工作台，多个显示选择页。单身份隐藏切换按钮；主管／前台仍在工作台内选店。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UX-14</w:t>
              <w:br/>
              <w:t>候补时间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有脚本时使用日期＋时刻联动选项。先选开始，后选结束；不列过去时间、结束早于开始或不足30分钟的组合。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UX-15</w:t>
              <w:br/>
              <w:t>规则说明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最早＝可以开始就诊；最晚＝必须结束就诊。明确滚动14天和至少容纳一个30分钟预约，并按字段指出错误。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UX-16</w:t>
              <w:br/>
              <w:t>任务连续性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主管候补页显示本店待安排数及“前往排程建议”。此链接只导航，不替用户生成、发布或接受邀约。</w:t>
            </w:r>
          </w:p>
        </w:tc>
      </w:tr>
    </w:tbl>
    <w:p>
      <w:pPr>
        <w:pStyle w:val="Heading2"/>
      </w:pPr>
      <w:r>
        <w:t>时间边界与失败保证</w:t>
      </w:r>
    </w:p>
    <w:p>
      <w:r>
        <w:t>设后端校验时刻为 n，开始为 s，结束为 e：要求 s &gt; n、e − s ≥ 30分钟、e ≤ n + 14天。跨日范围表示期间均可接受，实际候选仍受牙医出诊时段约束。它不是“每天只有某个时段”的重复日程。</w:t>
      </w:r>
    </w:p>
    <w:p>
      <w:r>
        <w:t>日期选择器使用服务器传入的北京时间边界，不把浏览器的美国时区当作业务时区。15分钟选项是界面快捷步长，不把后端合法分钟精度或旧数据强制四舍五入。开始改变导致结束失效时清空结束并说明，不能静默改成另一个预约偏好。</w:t>
      </w:r>
    </w:p>
    <w:p>
      <w:r>
        <w:t>无脚本时保留原生输入和后端检查。原生datetime-local的浏览器实现不同，单独添加min/max不能被描述为“所有设备都选不到非法值”；即使前端限制完好，服务器仍重新读取当前时间并拒绝过期提交。[T1]</w:t>
      </w:r>
    </w:p>
    <w:p>
      <w:pPr>
        <w:pStyle w:val="Heading2"/>
      </w:pPr>
      <w:r>
        <w:t>相关P2一起修订</w:t>
      </w:r>
    </w:p>
    <w:p>
      <w:r>
        <w:t>没有过期邀约时不突出回收按钮；已发布方案显示真实邀约期限；已接受邀约改用历史截止语义，并提供正式预约详情入口；“记录治疗”与“完成结算”指南分开，避免自动扩大用户任务。指南目录现为20份，并携带版本检查。</w:t>
      </w:r>
    </w:p>
    <w:p>
      <w:r>
        <w:t>模块总结：省掉多余点击，不省授权；过滤非法选择，不省后端校验；模块可以分开，任务入口保持连续。</w:t>
      </w:r>
    </w:p>
    <w:p>
      <w:r>
        <w:br w:type="page"/>
      </w:r>
    </w:p>
    <w:p>
      <w:pPr>
        <w:pStyle w:val="Heading1"/>
      </w:pPr>
      <w:r>
        <w:t>03 v0.8首项开发：账号维护</w:t>
      </w:r>
    </w:p>
    <w:p>
      <w:r>
        <w:t>本次不是只列计划。新增 accounts.governance、表单、视图、URL及技术工作台页面，复用既有 UserAccount、RoleAssignment、PatientAccess 和 AuditEvent，不另建一套身份表。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功能</w:t>
            </w:r>
          </w:p>
        </w:tc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权限与范围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创建普通演示账号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技术身份操作，可绑定未关联的有效牙医；创建后默认没有业务角色，不自动获得管理员或超级用户权限。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授予／撤回业务身份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仅医生、前台、主管、总部及财务；前台／主管必须指定授权诊所。界面不授予SYSADMIN。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演示患者绑定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技术人员核对已有患者编号后受控绑定；拒绝覆盖原绑定或自行认领。不是正式患者身份认证。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停用／启用／重置密码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保护自账号及技术／超级用户账号；未闭合预约、候补或更正等业务会阻止相关停用。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修改我的密码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各工作台可用原密码修改本人密码；保存后退出，重新登录。不会因此改变角色、范围或患者身份。</w:t>
            </w:r>
          </w:p>
        </w:tc>
      </w:tr>
    </w:tbl>
    <w:p>
      <w:pPr>
        <w:pStyle w:val="Heading2"/>
      </w:pPr>
      <w:r>
        <w:t>命令契约</w:t>
      </w:r>
    </w:p>
    <w:p>
      <w:r>
        <w:t>技术写操作要求：有效技术授权、当前工作上下文、再次验证操作者密码、有效目标状态签名、明确理由与确认。事务中重新锁定并核验账号／状态，变更与审计一起提交；授权和密码变化使目标旧工作上下文失效。</w:t>
      </w:r>
    </w:p>
    <w:p>
      <w:r>
        <w:t>密码通过Django密码API与验证器处理，不写明文、不放URL、不在成功页或审计中显示。事务机制提供提交／回滚边界，但不替代权限与并发测试。[T2；T3]</w:t>
      </w:r>
    </w:p>
    <w:p>
      <w:pPr>
        <w:pStyle w:val="Heading2"/>
      </w:pPr>
      <w:r>
        <w:t>本轮仍未解决</w:t>
      </w:r>
    </w:p>
    <w:p>
      <w:r>
        <w:t>账号停用不等于停用牙医档案、出诊资源或门店；完整目录生命周期、真实身份核验、公共找回密码、管理操作限流以及生产安全配置仍未完成。技术权限不能理解为可编辑病历、治疗或审批财务更正。</w:t>
      </w:r>
    </w:p>
    <w:p>
      <w:r>
        <w:t>下一增量：本轮真实回归 → 目录及资源配置 → 统一占用 → 持久后台 → 多资源CP-SAT → 任务状态引导 → 发布质量。现有排程仍是v0.7有限固定30分钟最大匹配，不能称为多资源优化。</w:t>
      </w:r>
    </w:p>
    <w:p>
      <w:r>
        <w:t>模块总结：账号生命周期进入页面；业务权限仍独立；历史与身份关联不随意覆盖。</w:t>
      </w:r>
    </w:p>
    <w:p>
      <w:r>
        <w:br w:type="page"/>
      </w:r>
    </w:p>
    <w:p>
      <w:pPr>
        <w:pStyle w:val="Heading1"/>
      </w:pPr>
      <w:r>
        <w:t>04 验证、交付与升级边界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检查</w:t>
            </w:r>
          </w:p>
        </w:tc>
        <w:tc>
          <w:tcPr>
            <w:tcW w:type="dxa" w:w="4819"/>
            <w:shd w:fill="E6F0E9"/>
          </w:tcPr>
          <w:p>
            <w:pPr>
              <w:spacing w:after="100" w:before="80"/>
            </w:pPr>
            <w:r>
              <w:rPr>
                <w:b/>
                <w:sz w:val="19"/>
              </w:rPr>
              <w:t>实际结果／限制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纯规则、静态、模拟协议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225个Python测试方法通过；不是Django模型、数据库和完整请求验证。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选择器JS契约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18条Node断言通过，使用实际脚本纯函数。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静态浏览器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新页面123条、工作台157条、原助手87条、管理84条断言通过；真实Chromium＋合成模板／表单，不是服务器端到端。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语法与迁移原文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Python和4个JS脚本语法检查通过；13份原迁移未改，无新迁移。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Django／PostgreSQL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253项测试已编写：原197＋新增56；本生成环境未运行。缺少依赖及数据库，下载遇DNS失败。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其他</w:t>
            </w:r>
          </w:p>
        </w:tc>
        <w:tc>
          <w:tcPr>
            <w:tcW w:type="dxa" w:w="4819"/>
          </w:tcPr>
          <w:p>
            <w:pPr>
              <w:spacing w:after="100" w:before="80"/>
            </w:pPr>
            <w:r>
              <w:rPr>
                <w:sz w:val="19"/>
              </w:rPr>
              <w:t>无真实模型请求、无公网部署、无压力／恢复或完整安全验收。Windows升级脚本未实机执行。</w:t>
            </w:r>
          </w:p>
        </w:tc>
      </w:tr>
    </w:tbl>
    <w:p>
      <w:pPr>
        <w:pStyle w:val="Heading2"/>
      </w:pPr>
      <w:r>
        <w:t>交付与本地验证</w:t>
      </w:r>
    </w:p>
    <w:p>
      <w:r>
        <w:t>提供v0.7到本增量的更新包与完整源码包。用户可继续运行v0.7，等候最终发布候选再统一升级；无需单独安装v0.7.1。代码交付不自动更改当前系统。</w:t>
      </w:r>
    </w:p>
    <w:p>
      <w:r>
        <w:t>需要验证本包时，先复制保密源码并停止Web；在原工程覆盖更新文件，保留原.env、密码和数据卷，再执行 UPGRADE_V08_ALPHA_WINDOWS.cmd。脚本先备份并检查归档可读性，再构建、校验文件、执行全部门槛。任何失败停止，不删迁移、不删除卷、不重置账号。</w:t>
      </w:r>
    </w:p>
    <w:p>
      <w:r>
        <w:t>门槛日志写入本机 evidence 目录，含命令、返回码和源码指纹，不主动输出密钥。归档可读检查不是恢复演练；从alpha升级返回旧代码前仍需核对数据兼容性。</w:t>
      </w:r>
    </w:p>
    <w:p>
      <w:pPr>
        <w:pStyle w:val="Heading2"/>
      </w:pPr>
      <w:r>
        <w:t>参考与证据</w:t>
      </w:r>
    </w:p>
    <w:p>
      <w:r>
        <w:t>N：note__2第4页；note__3第1、4、11页；note__5第4—8页。项目具体规则来自本轮用户反馈。</w:t>
      </w:r>
    </w:p>
    <w:p>
      <w:r>
        <w:t>T1：MDN，HTML input/datetime-local（日期、限制与时区章节）。</w:t>
        <w:br/>
        <w:t>T2：Django 5.2，Using the authentication system。</w:t>
        <w:br/>
        <w:t>T3：Django 5.2，Database transactions。访问日期2026-09-27；完整链接保存在源码 docs/SOURCES_v0.8a1.md。</w:t>
      </w:r>
    </w:p>
    <w:p>
      <w:r>
        <w:t>执行日志与边界：docs/TEST_REPORT.md、docs/evidence_v08a1/。本文件是说明补充，不是全系统通过证明。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0.8.0-alpha.1  ·  开发第一增量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ADC  /  系统分析与设计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Calibri" w:hAnsi="Calibri" w:eastAsia="Noto Sans CJK SC"/>
      <w:color w:val="193E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83" w:lineRule="auto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193E3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83" w:lineRule="auto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193E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283" w:lineRule="auto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193E3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83" w:lineRule="auto"/>
      <w:contextualSpacing/>
    </w:pPr>
    <w:rPr>
      <w:rFonts w:asciiTheme="majorHAnsi" w:eastAsiaTheme="majorEastAsia" w:hAnsiTheme="majorHAnsi" w:cstheme="majorBidi" w:ascii="Calibri" w:hAnsi="Calibri" w:eastAsia="Noto Sans CJK SC"/>
      <w:color w:val="193E35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ADC v0.8 第一增量：修订与开发说明</dc:title>
  <dc:subject>v0.7实测反馈落实、账号治理与证据边界</dc:subject>
  <dc:creator>ADC课程项目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