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536975"/>
          <w:sz w:val="20"/>
        </w:rPr>
        <w:t>SYSTEMS ANALYSIS &amp; DESIGN  ·  ADC PROJECT</w:t>
      </w:r>
    </w:p>
    <w:p>
      <w:r>
        <w:rPr>
          <w:b w:val="0"/>
          <w:color w:val="173F4C"/>
          <w:sz w:val="26"/>
        </w:rPr>
        <w:t>系统分析与设计 · 个人课程项目</w:t>
      </w:r>
    </w:p>
    <w:p>
      <w:r>
        <w:rPr>
          <w:b w:val="0"/>
          <w:sz w:val="16"/>
        </w:rPr>
        <w:br/>
      </w:r>
    </w:p>
    <w:p>
      <w:r>
        <w:rPr>
          <w:b/>
          <w:color w:val="196253"/>
          <w:sz w:val="92"/>
        </w:rPr>
        <w:t>ADC</w:t>
      </w:r>
    </w:p>
    <w:p>
      <w:pPr>
        <w:pStyle w:val="Title"/>
      </w:pPr>
      <w:r>
        <w:rPr>
          <w:b w:val="0"/>
        </w:rPr>
        <w:t>牙科连锁运营管理系统</w:t>
      </w:r>
    </w:p>
    <w:p>
      <w:r>
        <w:rPr>
          <w:b/>
          <w:color w:val="173F4C"/>
          <w:sz w:val="38"/>
        </w:rPr>
        <w:t>项目愿景、业务建模与需求规约</w:t>
      </w:r>
    </w:p>
    <w:p>
      <w:r>
        <w:rPr>
          <w:b w:val="0"/>
          <w:color w:val="536975"/>
          <w:sz w:val="26"/>
        </w:rPr>
        <w:t>课程阶段作业 · 提交版 R1.0</w:t>
      </w:r>
    </w:p>
    <w:p>
      <w:r>
        <w:rPr>
          <w:b w:val="0"/>
          <w:sz w:val="16"/>
        </w:rPr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cantSplit/>
          <w:tblHeader/>
        </w:trPr>
        <w:tc>
          <w:tcPr>
            <w:tcW w:type="dxa" w:w="226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22"/>
              </w:rPr>
              <w:t>提交信息</w:t>
            </w:r>
          </w:p>
        </w:tc>
        <w:tc>
          <w:tcPr>
            <w:tcW w:type="dxa" w:w="7370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22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姓名</w:t>
            </w:r>
          </w:p>
        </w:tc>
        <w:tc>
          <w:tcPr>
            <w:tcW w:type="dxa" w:w="7370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学号</w:t>
            </w:r>
          </w:p>
        </w:tc>
        <w:tc>
          <w:tcPr>
            <w:tcW w:type="dxa" w:w="7370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专业／班级</w:t>
            </w:r>
          </w:p>
        </w:tc>
        <w:tc>
          <w:tcPr>
            <w:tcW w:type="dxa" w:w="7370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____________________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完成方式</w:t>
            </w:r>
          </w:p>
        </w:tc>
        <w:tc>
          <w:tcPr>
            <w:tcW w:type="dxa" w:w="7370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个人项目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编制日期</w:t>
            </w:r>
          </w:p>
        </w:tc>
        <w:tc>
          <w:tcPr>
            <w:tcW w:type="dxa" w:w="7370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22"/>
              </w:rPr>
              <w:t>2026年9月27日</w:t>
            </w:r>
          </w:p>
        </w:tc>
      </w:tr>
    </w:tbl>
    <w:p>
      <w:r>
        <w:rPr>
          <w:b w:val="0"/>
          <w:sz w:val="16"/>
        </w:rPr>
        <w:br/>
      </w:r>
    </w:p>
    <w:p>
      <w:pPr>
        <w:pStyle w:val="Heading2"/>
      </w:pPr>
      <w:r>
        <w:t>报告定位</w:t>
      </w:r>
    </w:p>
    <w:p>
      <w:r>
        <w:rPr>
          <w:b w:val="0"/>
        </w:rPr>
        <w:t>以教师要求的愿景、业务建模和系统需求为主线。本文给出经过统一的目标需求，不以开发工具、代码清单或部署日志替代业务分析。</w:t>
      </w:r>
    </w:p>
    <w:p>
      <w:r>
        <w:rPr>
          <w:b w:val="0"/>
        </w:rPr>
        <w:t>范围基线：保留v0.7的限定业务，纳入已确认的交互修订及v0.8首批目录／账号需求。多资源CP-SAT、后台通知和公网发布另列后续，不写成已经完成。</w:t>
      </w:r>
    </w:p>
    <w:p>
      <w:r>
        <w:rPr>
          <w:b w:val="0"/>
          <w:color w:val="536975"/>
          <w:sz w:val="19"/>
        </w:rPr>
        <w:t>使用合成患者和业务数据。报告描述的是课程信息系统，不是临床诊断、真实支付或合规认证产品。</w:t>
      </w:r>
    </w:p>
    <w:p>
      <w:r>
        <w:br w:type="page"/>
      </w:r>
    </w:p>
    <w:p>
      <w:pPr>
        <w:pStyle w:val="Heading1"/>
      </w:pPr>
      <w:r>
        <w:t>摘要与提交内容对照</w:t>
      </w:r>
    </w:p>
    <w:p>
      <w:r>
        <w:rPr>
          <w:b w:val="0"/>
          <w:color w:val="536975"/>
          <w:sz w:val="18"/>
        </w:rPr>
        <w:t>愿景 → 业务结果 → 现状／改进序列 → 系统用例 → 规约与验收</w:t>
      </w:r>
    </w:p>
    <w:p>
      <w:r>
        <w:rPr>
          <w:b w:val="0"/>
        </w:rPr>
        <w:t>ADC案例涉及15家诊所的分散管理与扩张需求，关注跨店服务、患者取消、牙医资格、季度业绩和标准化结算。本项目将这些信息需求转化为“资料—预约—接诊—结算—运营核对”一条主线，并增加岗位工作台、候补协调及手动操作引导。[C，第1—2页]</w:t>
      </w:r>
    </w:p>
    <w:p>
      <w:r>
        <w:rPr>
          <w:b w:val="0"/>
        </w:rPr>
        <w:t>系统采用独立角色界面：多身份账号先选身份，前台／主管再在工作台内选择诊所；仅有一个有效身份时自动激活进入。AI只帮助识别任务和寻找步骤，业务操作由用户明确确认。候补须经过建议、限时邀约和患者接受，不能登记后直接当作正式预约。[U，D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4932"/>
      </w:tblGrid>
      <w:tr>
        <w:trPr>
          <w:cantSplit/>
          <w:tblHeader/>
        </w:trPr>
        <w:tc>
          <w:tcPr>
            <w:tcW w:type="dxa" w:w="226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教师明确要求 [T]</w:t>
            </w:r>
          </w:p>
        </w:tc>
        <w:tc>
          <w:tcPr>
            <w:tcW w:type="dxa" w:w="243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本文位置</w:t>
            </w:r>
          </w:p>
        </w:tc>
        <w:tc>
          <w:tcPr>
            <w:tcW w:type="dxa" w:w="4932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验收重点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项目愿景</w:t>
            </w:r>
          </w:p>
        </w:tc>
        <w:tc>
          <w:tcPr>
            <w:tcW w:type="dxa" w:w="243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第1节</w:t>
            </w:r>
          </w:p>
        </w:tc>
        <w:tc>
          <w:tcPr>
            <w:tcW w:type="dxa" w:w="493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问题、使用者价值、目标与边界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业务用例图</w:t>
            </w:r>
          </w:p>
        </w:tc>
        <w:tc>
          <w:tcPr>
            <w:tcW w:type="dxa" w:w="243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第3节，B01</w:t>
            </w:r>
          </w:p>
        </w:tc>
        <w:tc>
          <w:tcPr>
            <w:tcW w:type="dxa" w:w="493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所选业务域的参与者与成果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现状业务序列图</w:t>
            </w:r>
          </w:p>
        </w:tc>
        <w:tc>
          <w:tcPr>
            <w:tcW w:type="dxa" w:w="243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第4、6节，B02/B04</w:t>
            </w:r>
          </w:p>
        </w:tc>
        <w:tc>
          <w:tcPr>
            <w:tcW w:type="dxa" w:w="493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案例事实与补充假设分开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改进后业务序列图</w:t>
            </w:r>
          </w:p>
        </w:tc>
        <w:tc>
          <w:tcPr>
            <w:tcW w:type="dxa" w:w="243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第5、7、8节，B03/B05/B06</w:t>
            </w:r>
          </w:p>
        </w:tc>
        <w:tc>
          <w:tcPr>
            <w:tcW w:type="dxa" w:w="493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同一业务目标的改进方式与异常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系统用例图</w:t>
            </w:r>
          </w:p>
        </w:tc>
        <w:tc>
          <w:tcPr>
            <w:tcW w:type="dxa" w:w="243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第10—12节，S01—S03</w:t>
            </w:r>
          </w:p>
        </w:tc>
        <w:tc>
          <w:tcPr>
            <w:tcW w:type="dxa" w:w="493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岗位与软件功能关联，而非按钮时序</w:t>
            </w:r>
          </w:p>
        </w:tc>
      </w:tr>
      <w:tr>
        <w:trPr>
          <w:cantSplit/>
        </w:trPr>
        <w:tc>
          <w:tcPr>
            <w:tcW w:type="dxa" w:w="226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用例规约</w:t>
            </w:r>
          </w:p>
        </w:tc>
        <w:tc>
          <w:tcPr>
            <w:tcW w:type="dxa" w:w="243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第15节，SU-01—SU-25</w:t>
            </w:r>
          </w:p>
        </w:tc>
        <w:tc>
          <w:tcPr>
            <w:tcW w:type="dxa" w:w="493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触发、前置、主流程、替代、成功与失败保证</w:t>
            </w:r>
          </w:p>
        </w:tc>
      </w:tr>
    </w:tbl>
    <w:p>
      <w:pPr>
        <w:pStyle w:val="Heading2"/>
      </w:pPr>
      <w:r>
        <w:t>版本与证据约定</w:t>
      </w:r>
    </w:p>
    <w:p>
      <w:r>
        <w:rPr>
          <w:b w:val="0"/>
        </w:rPr>
        <w:t>R1.0是本报告的需求基线号，不是软件发布号。本地演示环境已运行v0.7，并已归档部分主流程及拒绝页面截图；候选代码为v0.8-alpha.2。候选源码存在不等于新版本已部署或全部验收通过。详细状态见第17节。</w:t>
      </w:r>
    </w:p>
    <w:p>
      <w:r>
        <w:rPr>
          <w:b w:val="0"/>
        </w:rPr>
        <w:t>C＝原案例；T＝教师任务截图；N1—N6＝上传课程笔记；U＝用户确认的需求；A＝用于现状分析的假设；D＝项目设计补充；E＝实际截图／检查记录；W＝外部官方方法参考。</w:t>
      </w:r>
    </w:p>
    <w:p>
      <w:pPr>
        <w:pStyle w:val="Heading2"/>
      </w:pPr>
      <w:r>
        <w:t>阅读方法</w:t>
      </w:r>
    </w:p>
    <w:p>
      <w:r>
        <w:rPr>
          <w:b w:val="0"/>
        </w:rPr>
        <w:t>先读愿景和两组现状／改进序列，再读系统用例与对应规约。第13—14节集中定义共享规则与质量条件；第16节将目标、模型、规约、代码和验收入口串联。工程实现只作为支持材料出现。</w:t>
      </w:r>
    </w:p>
    <w:p>
      <w:r>
        <w:rPr>
          <w:b w:val="0"/>
          <w:color w:val="536975"/>
          <w:sz w:val="18"/>
        </w:rPr>
        <w:t>本节归纳：六类必交材料全部进入同一份文档；以业务与需求为主体，实现与实测另行标记。</w:t>
      </w:r>
    </w:p>
    <w:p>
      <w:r>
        <w:br w:type="page"/>
      </w:r>
    </w:p>
    <w:p>
      <w:pPr>
        <w:pStyle w:val="Heading1"/>
      </w:pPr>
      <w:r>
        <w:t>1  项目愿景与可观察目标</w:t>
      </w:r>
    </w:p>
    <w:p>
      <w:r>
        <w:rPr>
          <w:b w:val="0"/>
          <w:color w:val="536975"/>
          <w:sz w:val="18"/>
        </w:rPr>
        <w:t>从组织问题出发，而不是从技术清单出发</w:t>
      </w:r>
    </w:p>
    <w:p>
      <w:pPr>
        <w:pStyle w:val="Heading2"/>
      </w:pPr>
      <w:r>
        <w:t>1.1 问题与定位</w:t>
      </w:r>
    </w:p>
    <w:p>
      <w:r>
        <w:rPr>
          <w:b w:val="0"/>
        </w:rPr>
        <w:t>案例中的各店较为独立，依赖总部人工监督，跨店服务与管理核对因此需要共同的数据基础。原文提出应建立标准化、高质量数据库支撑信息系统，但并未证明某种软件架构、AI或优化算法已带来经营收益。[C，第1页]</w:t>
      </w:r>
    </w:p>
    <w:p>
      <w:r>
        <w:rPr>
          <w:b/>
        </w:rPr>
        <w:t>愿景：面向ADC患者与各岗位人员，建立基于统一事实的运营协作系统；让患者明确“安排在哪里、何时就诊、如何查看费用”，让工作人员在其身份和诊所范围内办理任务，并让管理者获得注明口径与缺失的核对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2665"/>
        <w:gridCol w:w="5443"/>
      </w:tblGrid>
      <w:tr>
        <w:trPr>
          <w:cantSplit/>
          <w:tblHeader/>
        </w:trPr>
        <w:tc>
          <w:tcPr>
            <w:tcW w:type="dxa" w:w="153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266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期望结果</w:t>
            </w:r>
          </w:p>
        </w:tc>
        <w:tc>
          <w:tcPr>
            <w:tcW w:type="dxa" w:w="5443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可观察的阶段判据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G1 服务连贯</w:t>
            </w:r>
          </w:p>
        </w:tc>
        <w:tc>
          <w:tcPr>
            <w:tcW w:type="dxa" w:w="266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建档、预约、接诊与结算相互关联</w:t>
            </w:r>
          </w:p>
        </w:tc>
        <w:tc>
          <w:tcPr>
            <w:tcW w:type="dxa" w:w="544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按同一患者和预约编号追踪到实际治疗及账单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G2 事实一致</w:t>
            </w:r>
          </w:p>
        </w:tc>
        <w:tc>
          <w:tcPr>
            <w:tcW w:type="dxa" w:w="266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历史、状态、权限和金额不矛盾</w:t>
            </w:r>
          </w:p>
        </w:tc>
        <w:tc>
          <w:tcPr>
            <w:tcW w:type="dxa" w:w="544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冲突、失败、撤权与更正场景不留下不合法记录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G3 操作易定位</w:t>
            </w:r>
          </w:p>
        </w:tc>
        <w:tc>
          <w:tcPr>
            <w:tcW w:type="dxa" w:w="266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各岗位少走无意义步骤</w:t>
            </w:r>
          </w:p>
        </w:tc>
        <w:tc>
          <w:tcPr>
            <w:tcW w:type="dxa" w:w="544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单身份直达；多身份明确选择；指南指出真实页面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G4 管理可解释</w:t>
            </w:r>
          </w:p>
        </w:tc>
        <w:tc>
          <w:tcPr>
            <w:tcW w:type="dxa" w:w="266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报表结果可重算、可质疑</w:t>
            </w:r>
          </w:p>
        </w:tc>
        <w:tc>
          <w:tcPr>
            <w:tcW w:type="dxa" w:w="544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收入口径、样本分母、未知状态与成本缺项随结果展示</w:t>
            </w:r>
          </w:p>
        </w:tc>
      </w:tr>
      <w:tr>
        <w:trPr>
          <w:cantSplit/>
        </w:trPr>
        <w:tc>
          <w:tcPr>
            <w:tcW w:type="dxa" w:w="15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G5 扩展有边界</w:t>
            </w:r>
          </w:p>
        </w:tc>
        <w:tc>
          <w:tcPr>
            <w:tcW w:type="dxa" w:w="266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候补和AI不越过用户决定</w:t>
            </w:r>
          </w:p>
        </w:tc>
        <w:tc>
          <w:tcPr>
            <w:tcW w:type="dxa" w:w="544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邀约未经接受不建预约；助手不代点、代填或提交</w:t>
            </w:r>
          </w:p>
        </w:tc>
      </w:tr>
    </w:tbl>
    <w:p>
      <w:pPr>
        <w:pStyle w:val="Heading2"/>
      </w:pPr>
      <w:r>
        <w:t>1.2 利益相关者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4535"/>
      </w:tblGrid>
      <w:tr>
        <w:trPr>
          <w:cantSplit/>
          <w:tblHeader/>
        </w:trPr>
        <w:tc>
          <w:tcPr>
            <w:tcW w:type="dxa" w:w="170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群体</w:t>
            </w:r>
          </w:p>
        </w:tc>
        <w:tc>
          <w:tcPr>
            <w:tcW w:type="dxa" w:w="3402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希望解决的任务</w:t>
            </w:r>
          </w:p>
        </w:tc>
        <w:tc>
          <w:tcPr>
            <w:tcW w:type="dxa" w:w="453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关键限制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</w:t>
            </w:r>
          </w:p>
        </w:tc>
        <w:tc>
          <w:tcPr>
            <w:tcW w:type="dxa" w:w="340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选择时段、候补、查询本人预约与账单</w:t>
            </w:r>
          </w:p>
        </w:tc>
        <w:tc>
          <w:tcPr>
            <w:tcW w:type="dxa" w:w="45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不访问别人的资料，不自行登记治疗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前台与牙医</w:t>
            </w:r>
          </w:p>
        </w:tc>
        <w:tc>
          <w:tcPr>
            <w:tcW w:type="dxa" w:w="340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接待协调／临床事实记录分别负责</w:t>
            </w:r>
          </w:p>
        </w:tc>
        <w:tc>
          <w:tcPr>
            <w:tcW w:type="dxa" w:w="45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前台不能确认治疗；牙医仅处理本人接诊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主管、总部与财务</w:t>
            </w:r>
          </w:p>
        </w:tc>
        <w:tc>
          <w:tcPr>
            <w:tcW w:type="dxa" w:w="340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本店协调、跨店核对、成本与更正审批</w:t>
            </w:r>
          </w:p>
        </w:tc>
        <w:tc>
          <w:tcPr>
            <w:tcW w:type="dxa" w:w="45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查询与写入分离；自批被拒绝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技术管理</w:t>
            </w:r>
          </w:p>
        </w:tc>
        <w:tc>
          <w:tcPr>
            <w:tcW w:type="dxa" w:w="340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发放受控演示账号和维护技术配置</w:t>
            </w:r>
          </w:p>
        </w:tc>
        <w:tc>
          <w:tcPr>
            <w:tcW w:type="dxa" w:w="45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技术身份不默认取得临床或财务审批权</w:t>
            </w:r>
          </w:p>
        </w:tc>
      </w:tr>
    </w:tbl>
    <w:p>
      <w:r>
        <w:rPr>
          <w:b w:val="0"/>
          <w:color w:val="536975"/>
          <w:sz w:val="18"/>
        </w:rPr>
        <w:t>本节归纳：价值目标先于功能；不预先报告取消率下降、收入提升或老年用户成功率改善。</w:t>
      </w:r>
    </w:p>
    <w:p>
      <w:r>
        <w:br w:type="page"/>
      </w:r>
    </w:p>
    <w:p>
      <w:pPr>
        <w:pStyle w:val="Heading1"/>
      </w:pPr>
      <w:r>
        <w:t>2  需求来源、假设与范围</w:t>
      </w:r>
    </w:p>
    <w:p>
      <w:r>
        <w:rPr>
          <w:b w:val="0"/>
          <w:color w:val="536975"/>
          <w:sz w:val="18"/>
        </w:rPr>
        <w:t>事实有出处；补充规则标明是设计，不伪装成访谈结论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cantSplit/>
          <w:tblHeader/>
        </w:trPr>
        <w:tc>
          <w:tcPr>
            <w:tcW w:type="dxa" w:w="453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案例明确的信息需求 [C]</w:t>
            </w:r>
          </w:p>
        </w:tc>
        <w:tc>
          <w:tcPr>
            <w:tcW w:type="dxa" w:w="5102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本项目的表达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患者基本资料、紧急联系人、多种过敏</w:t>
            </w:r>
          </w:p>
        </w:tc>
        <w:tc>
          <w:tcPr>
            <w:tcW w:type="dxa" w:w="510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稳定业务编号、多值过敏关联；可选邮箱不是登录身份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牙医资料、多种专业资格、跨店服务</w:t>
            </w:r>
          </w:p>
        </w:tc>
        <w:tc>
          <w:tcPr>
            <w:tcW w:type="dxa" w:w="510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牙医不永久隶属单店；本次就诊记录明确地点与负责牙医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一次就诊可能实施多项治疗</w:t>
            </w:r>
          </w:p>
        </w:tc>
        <w:tc>
          <w:tcPr>
            <w:tcW w:type="dxa" w:w="510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治疗意向和实际治疗区分，保存数量、标准单位和当时单价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取消关注与实际到诊布尔记录</w:t>
            </w:r>
          </w:p>
        </w:tc>
        <w:tc>
          <w:tcPr>
            <w:tcW w:type="dxa" w:w="5102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保留到诊布尔值，并补充取消、爽约、改期等状态</w:t>
            </w:r>
          </w:p>
        </w:tc>
      </w:tr>
      <w:tr>
        <w:trPr>
          <w:cantSplit/>
        </w:trPr>
        <w:tc>
          <w:tcPr>
            <w:tcW w:type="dxa" w:w="45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每次就诊一张结算单、季度业绩</w:t>
            </w:r>
          </w:p>
        </w:tc>
        <w:tc>
          <w:tcPr>
            <w:tcW w:type="dxa" w:w="5102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唯一逻辑单号与费用明细；季度收入、用品成本及运营费用</w:t>
            </w:r>
          </w:p>
        </w:tc>
      </w:tr>
    </w:tbl>
    <w:p>
      <w:pPr>
        <w:pStyle w:val="Heading2"/>
      </w:pPr>
      <w:r>
        <w:t>2.1 现状建模假设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617"/>
      </w:tblGrid>
      <w:tr>
        <w:trPr>
          <w:cantSplit/>
          <w:tblHeader/>
        </w:trPr>
        <w:tc>
          <w:tcPr>
            <w:tcW w:type="dxa" w:w="1020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8617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假设及适用位置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A1</w:t>
            </w:r>
          </w:p>
        </w:tc>
        <w:tc>
          <w:tcPr>
            <w:tcW w:type="dxa" w:w="86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前台承担预约协调与到诊记录；具体岗位分工未经另行机构访谈。用于B02/B03。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A2</w:t>
            </w:r>
          </w:p>
        </w:tc>
        <w:tc>
          <w:tcPr>
            <w:tcW w:type="dxa" w:w="86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各店有传递患者、安排和计费事实的业务资料；不假定必用纸张、Excel或某款旧软件。用于B02/B04。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A3</w:t>
            </w:r>
          </w:p>
        </w:tc>
        <w:tc>
          <w:tcPr>
            <w:tcW w:type="dxa" w:w="86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季度核对可能出现资料补交与口径澄清。用于B04；不把可能风险当作已发生事实。</w:t>
            </w:r>
          </w:p>
        </w:tc>
      </w:tr>
      <w:tr>
        <w:trPr>
          <w:cantSplit/>
        </w:trPr>
        <w:tc>
          <w:tcPr>
            <w:tcW w:type="dxa" w:w="1020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A4</w:t>
            </w:r>
          </w:p>
        </w:tc>
        <w:tc>
          <w:tcPr>
            <w:tcW w:type="dxa" w:w="86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以一位负责牙医归属一次就诊；不处理共同治疗的收益分摊。属于D设计限制，不是已核实行业惯例。</w:t>
            </w:r>
          </w:p>
        </w:tc>
      </w:tr>
    </w:tbl>
    <w:p>
      <w:pPr>
        <w:pStyle w:val="Heading2"/>
      </w:pPr>
      <w:r>
        <w:t>2.2 本次需求基线与后续</w:t>
      </w:r>
    </w:p>
    <w:p>
      <w:r>
        <w:rPr>
          <w:b w:val="0"/>
        </w:rPr>
        <w:t>基线：原业务主线、季度核对、有限数字更正、独立工作台、手动指南、单店固定30分钟候补匹配；并纳入唯一身份直达、候补输入约束、账号治理和当前价格目录。</w:t>
      </w:r>
    </w:p>
    <w:p>
      <w:r>
        <w:rPr>
          <w:b w:val="0"/>
        </w:rPr>
        <w:t>后续：椅位／设备联合占用、可变时长与通勤、CP-SAT、Outbox后台通知、真实API评估、完整目录生命周期、账号公共注册与找回、生产恢复及公网验收。不能仅因先前规划出现过，就写成已实现。</w:t>
      </w:r>
    </w:p>
    <w:p>
      <w:r>
        <w:rPr>
          <w:b w:val="0"/>
        </w:rPr>
        <w:t>排除：AI诊断与处方、真实支付／医保／税务、个人奖金发放、家属代理、将统计或预测直接用作临床质量评价。</w:t>
      </w:r>
    </w:p>
    <w:p>
      <w:r>
        <w:rPr>
          <w:b w:val="0"/>
          <w:color w:val="536975"/>
          <w:sz w:val="18"/>
        </w:rPr>
        <w:t>本节归纳：C确定必须保留的信息；U/D确定有限扩展；A只用于解释现状模型的空白。</w:t>
      </w:r>
    </w:p>
    <w:p>
      <w:r>
        <w:br w:type="page"/>
      </w:r>
    </w:p>
    <w:p>
      <w:pPr>
        <w:pStyle w:val="Heading1"/>
      </w:pPr>
      <w:r>
        <w:t>3  业务用例模型 B01</w:t>
      </w:r>
    </w:p>
    <w:p>
      <w:r>
        <w:rPr>
          <w:b w:val="0"/>
          <w:color w:val="536975"/>
          <w:sz w:val="18"/>
        </w:rPr>
        <w:t>业务边界与软件边界不同；组织内部人员也可能是软件参与者</w:t>
      </w:r>
    </w:p>
    <w:p>
      <w:r>
        <w:rPr>
          <w:b w:val="0"/>
        </w:rPr>
        <w:t>选取“ADC诊所服务与运营核对作业域”为业务边界。前台、牙医及承担资料核对的财务是域内工作者；患者和接收报告的总部运营管理是结果使用者。总部画在该作业域外，并不意味着总部不属于ADC组织。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16156"/>
            <wp:docPr id="1" name="Picture 1" descr="图B01  业务用例图。矩形标记参与者角色，椭圆为业务目标；实线只表示参与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图B01  业务用例图。矩形标记参与者角色，椭圆为业务目标；实线只表示参与关系。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4706"/>
        <w:gridCol w:w="2381"/>
      </w:tblGrid>
      <w:tr>
        <w:trPr>
          <w:cantSplit/>
          <w:tblHeader/>
        </w:trPr>
        <w:tc>
          <w:tcPr>
            <w:tcW w:type="dxa" w:w="255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业务用例</w:t>
            </w:r>
          </w:p>
        </w:tc>
        <w:tc>
          <w:tcPr>
            <w:tcW w:type="dxa" w:w="4706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成功时产生的业务成果</w:t>
            </w:r>
          </w:p>
        </w:tc>
        <w:tc>
          <w:tcPr>
            <w:tcW w:type="dxa" w:w="238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主要域内协作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BU-01 获得就诊服务</w:t>
            </w:r>
          </w:p>
        </w:tc>
        <w:tc>
          <w:tcPr>
            <w:tcW w:type="dxa" w:w="4706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取得明确安排并完成符合事实的服务记录</w:t>
            </w:r>
          </w:p>
        </w:tc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前台、牙医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BU-02 调整就诊安排</w:t>
            </w:r>
          </w:p>
        </w:tc>
        <w:tc>
          <w:tcPr>
            <w:tcW w:type="dxa" w:w="4706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变更、取消或候补请求得到明确处理</w:t>
            </w:r>
          </w:p>
        </w:tc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前台、主管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BU-03 获取结算说明</w:t>
            </w:r>
          </w:p>
        </w:tc>
        <w:tc>
          <w:tcPr>
            <w:tcW w:type="dxa" w:w="4706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取得可核对的治疗费用与历史更正说明</w:t>
            </w:r>
          </w:p>
        </w:tc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牙医、前台、财务</w:t>
            </w:r>
          </w:p>
        </w:tc>
      </w:tr>
      <w:tr>
        <w:trPr>
          <w:cantSplit/>
        </w:trPr>
        <w:tc>
          <w:tcPr>
            <w:tcW w:type="dxa" w:w="255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BU-04 获取运营核对结果</w:t>
            </w:r>
          </w:p>
        </w:tc>
        <w:tc>
          <w:tcPr>
            <w:tcW w:type="dxa" w:w="4706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获得有口径、有缺失提示的季度及运营数据</w:t>
            </w:r>
          </w:p>
        </w:tc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各店、牙医、财务</w:t>
            </w:r>
          </w:p>
        </w:tc>
      </w:tr>
    </w:tbl>
    <w:p>
      <w:r>
        <w:rPr>
          <w:b w:val="0"/>
        </w:rPr>
        <w:t>“登录”“选择身份”“调用模型”“保存数据库”不作为业务成果放入此图；它们的系统支持方式由S01—S03及对应规约定义。[W1；D]</w:t>
      </w:r>
    </w:p>
    <w:p>
      <w:r>
        <w:rPr>
          <w:b w:val="0"/>
          <w:color w:val="536975"/>
          <w:sz w:val="18"/>
        </w:rPr>
        <w:t>本节归纳：业务用例回答服务为谁创造什么结果；系统用例再说明软件怎样支持这些目标。</w:t>
      </w:r>
    </w:p>
    <w:p>
      <w:r>
        <w:br w:type="page"/>
      </w:r>
    </w:p>
    <w:p>
      <w:pPr>
        <w:pStyle w:val="Heading1"/>
      </w:pPr>
      <w:r>
        <w:t>4  现状业务序列 B02：就诊服务</w:t>
      </w:r>
    </w:p>
    <w:p>
      <w:r>
        <w:rPr>
          <w:b w:val="0"/>
          <w:color w:val="536975"/>
          <w:sz w:val="18"/>
        </w:rPr>
        <w:t>AS-IS：案例所需事实＋A1/A2分析性细化，不是v0.3页面流程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019855"/>
            <wp:docPr id="2" name="Picture 2" descr="图B02  现状服务序列。时间向下；实线为业务动作，虚线为反馈。角色分工与具体次序采用A1/A2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19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图B02  现状服务序列。时间向下；实线为业务动作，虚线为反馈。角色分工与具体次序采用A1/A2。</w:t>
      </w:r>
    </w:p>
    <w:p>
      <w:r>
        <w:rPr>
          <w:b w:val="0"/>
        </w:rPr>
        <w:t>电话需求、患者及过敏信息、治疗数量和价格来自案例；人员如何传递资料未被原文完全指定。此图用于定位跨店身份复用、安排协调和费用核对的支持点，不断言旧流程必然有错误。[C，第1—2页]</w:t>
      </w:r>
    </w:p>
    <w:p>
      <w:r>
        <w:br w:type="page"/>
      </w:r>
    </w:p>
    <w:p>
      <w:pPr>
        <w:pStyle w:val="Heading1"/>
      </w:pPr>
      <w:r>
        <w:t>5  改进后业务序列 B03：统一服务</w:t>
      </w:r>
    </w:p>
    <w:p>
      <w:r>
        <w:rPr>
          <w:b w:val="0"/>
          <w:color w:val="536975"/>
          <w:sz w:val="18"/>
        </w:rPr>
        <w:t>TO-BE：保留人的确认责任，以系统统一记录与校验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047273"/>
            <wp:docPr id="3" name="Picture 3" descr="图B03  改进后电话／前台渠道的主成功序列；患者自助以同一规则提交，不改变到诊和治疗的人工职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4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图B03  改进后电话／前台渠道的主成功序列；患者自助以同一规则提交，不改变到诊和治疗的人工职责。</w:t>
      </w:r>
    </w:p>
    <w:p>
      <w:r>
        <w:rPr>
          <w:b w:val="0"/>
          <w:sz w:val="18"/>
        </w:rPr>
        <w:t>对应BU-01/03与SU-03/04/06/07/08/09。预约冲突、权限撤回、未知过敏和无治疗关闭在用例规约中展开；图内不展开ORM或SQL。</w:t>
      </w:r>
    </w:p>
    <w:p>
      <w:r>
        <w:br w:type="page"/>
      </w:r>
    </w:p>
    <w:p>
      <w:pPr>
        <w:pStyle w:val="Heading1"/>
      </w:pPr>
      <w:r>
        <w:t>6  现状业务序列 B04：季度核对</w:t>
      </w:r>
    </w:p>
    <w:p>
      <w:r>
        <w:rPr>
          <w:b w:val="0"/>
          <w:color w:val="536975"/>
          <w:sz w:val="18"/>
        </w:rPr>
        <w:t>AS-IS：分散资料的收集与可能的核对往返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421236"/>
            <wp:docPr id="4" name="Picture 4" descr="图B04  现状季度核对；“发现缺项后追问”属于A3替代场景，不是假称已经发生的事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图B04  现状季度核对；“发现缺项后追问”属于A3替代场景，不是假称已经发生的事实。</w:t>
      </w:r>
    </w:p>
    <w:p>
      <w:r>
        <w:rPr>
          <w:b w:val="0"/>
        </w:rPr>
        <w:t>案例明示季度收入、用品成本与运营费用，并提出净利润的10%激励基金。未给出成本分摊、每个岗位的提交时限、缺失处理和个人分配政策。[C，第1—2页]</w:t>
      </w:r>
    </w:p>
    <w:p>
      <w:r>
        <w:rPr>
          <w:b w:val="0"/>
        </w:rPr>
        <w:t>建模目的：说明统一字段和确认责任能够减少重复理解与核对，而不是预先量化节约了多少成本。没有资料时保持“未知/未提交”，不将其解释为零。</w:t>
      </w:r>
    </w:p>
    <w:p>
      <w:r>
        <w:rPr>
          <w:b w:val="0"/>
          <w:color w:val="536975"/>
          <w:sz w:val="18"/>
        </w:rPr>
        <w:t>本节归纳：现状模型强调信息来源与责任；自动化目标是改善核对，不伪造原业务制度。</w:t>
      </w:r>
    </w:p>
    <w:p>
      <w:r>
        <w:br w:type="page"/>
      </w:r>
    </w:p>
    <w:p>
      <w:pPr>
        <w:pStyle w:val="Heading1"/>
      </w:pPr>
      <w:r>
        <w:t>7  改进后业务序列 B05：完整性先于测算</w:t>
      </w:r>
    </w:p>
    <w:p>
      <w:r>
        <w:rPr>
          <w:b w:val="0"/>
          <w:color w:val="536975"/>
          <w:sz w:val="18"/>
        </w:rPr>
        <w:t>TO-BE：资料齐全且范围确认后，才形成完整利润结论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4421236"/>
            <wp:docPr id="5" name="Picture 5" descr="图B05  改进后季度核对。总部只读与财务维护分离；不完整状态仍允许查阅缺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2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图B05  改进后季度核对。总部只读与财务维护分离；不完整状态仍允许查阅缺项。</w:t>
      </w:r>
    </w:p>
    <w:p>
      <w:r>
        <w:rPr>
          <w:b w:val="0"/>
        </w:rPr>
        <w:t>对应BU-04、SU-11。用品成本和运营费用由财务据业务依据录入；系统从当前有效账单取得开单金额。未填与明确零值分开，有成本但无收入的牙医仍需纳入。</w:t>
      </w:r>
    </w:p>
    <w:p>
      <w:r>
        <w:rPr>
          <w:b w:val="0"/>
        </w:rPr>
        <w:t>采用项目口径：P(d,q)=R(d,q)−C(d,q)−O(d,q)，P(q)=ΣP(d,q)。仅当资料完整且总体利润为正时测算F(q)=10%×P(q)。这不是实收款、法定财务净利润或个人奖金政策。[C；D]</w:t>
      </w:r>
    </w:p>
    <w:p>
      <w:r>
        <w:rPr>
          <w:b w:val="0"/>
          <w:color w:val="536975"/>
          <w:sz w:val="18"/>
        </w:rPr>
        <w:t>本节归纳：先确认人和成本，再组合相同粒度的数据；账单更正会重述当前重算结果。</w:t>
      </w:r>
    </w:p>
    <w:p>
      <w:r>
        <w:br w:type="page"/>
      </w:r>
    </w:p>
    <w:p>
      <w:pPr>
        <w:pStyle w:val="Heading1"/>
      </w:pPr>
      <w:r>
        <w:t>8  改进后业务序列 B06：候补与排程</w:t>
      </w:r>
    </w:p>
    <w:p>
      <w:r>
        <w:rPr>
          <w:b w:val="0"/>
          <w:color w:val="536975"/>
          <w:sz w:val="18"/>
        </w:rPr>
        <w:t>TO-BE扩展：建议、限时邀约和正式预约是三个不同结果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602182"/>
            <wp:docPr id="6" name="Picture 6" descr="图B06  候补协同序列。接受与拒绝／过期为互斥分支；不再将“接受成功后回收同一邀约”画为顺序步骤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0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图B06  候补协同序列。接受与拒绝／过期为互斥分支；不再将“接受成功后回收同一邀约”画为顺序步骤。</w:t>
      </w:r>
    </w:p>
    <w:p>
      <w:r>
        <w:rPr>
          <w:b w:val="0"/>
          <w:sz w:val="18"/>
        </w:rPr>
        <w:t>对应BU-02与SU-13—17。排程仅在单店枚举范围内最大化安排数；建议不占位，发布后暂时保留，接受成功才建预约。患者需主动查看，当前没有短信或后台推送。[U；D]</w:t>
      </w:r>
    </w:p>
    <w:p>
      <w:r>
        <w:br w:type="page"/>
      </w:r>
    </w:p>
    <w:p>
      <w:pPr>
        <w:pStyle w:val="Heading1"/>
      </w:pPr>
      <w:r>
        <w:t>9  现状—改进差异及责任分配</w:t>
      </w:r>
    </w:p>
    <w:p>
      <w:r>
        <w:rPr>
          <w:b w:val="0"/>
          <w:color w:val="536975"/>
          <w:sz w:val="18"/>
        </w:rPr>
        <w:t>每一项改进对应一个业务问题，不把技术名称直接等同于价值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85"/>
        <w:gridCol w:w="3458"/>
      </w:tblGrid>
      <w:tr>
        <w:trPr>
          <w:cantSplit/>
          <w:tblHeader/>
        </w:trPr>
        <w:tc>
          <w:tcPr>
            <w:tcW w:type="dxa" w:w="249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现状支持点</w:t>
            </w:r>
          </w:p>
        </w:tc>
        <w:tc>
          <w:tcPr>
            <w:tcW w:type="dxa" w:w="368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改进后责任或信息变化</w:t>
            </w:r>
          </w:p>
        </w:tc>
        <w:tc>
          <w:tcPr>
            <w:tcW w:type="dxa" w:w="345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系统需求 / 风险边界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跨店资料分散（C）</w:t>
            </w:r>
          </w:p>
        </w:tc>
        <w:tc>
          <w:tcPr>
            <w:tcW w:type="dxa" w:w="368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患者编号统一，各次就诊关联诊所</w:t>
            </w:r>
          </w:p>
        </w:tc>
        <w:tc>
          <w:tcPr>
            <w:tcW w:type="dxa" w:w="345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SU-03/04；同电话不自动合并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人员间协调时间（A1）</w:t>
            </w:r>
          </w:p>
        </w:tc>
        <w:tc>
          <w:tcPr>
            <w:tcW w:type="dxa" w:w="368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统一查询与提交时冲突重验</w:t>
            </w:r>
          </w:p>
        </w:tc>
        <w:tc>
          <w:tcPr>
            <w:tcW w:type="dxa" w:w="345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SU-04/19；没有保证椅位或通勤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费用来自实际治疗（C）</w:t>
            </w:r>
          </w:p>
        </w:tc>
        <w:tc>
          <w:tcPr>
            <w:tcW w:type="dxa" w:w="368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牙医确认实际明细后生成结算单</w:t>
            </w:r>
          </w:p>
        </w:tc>
        <w:tc>
          <w:tcPr>
            <w:tcW w:type="dxa" w:w="345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SU-07/08/09；不从意向自动收费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取消与到诊信息需跟踪（C）</w:t>
            </w:r>
          </w:p>
        </w:tc>
        <w:tc>
          <w:tcPr>
            <w:tcW w:type="dxa" w:w="368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取消、爽约、未来预约分别记录</w:t>
            </w:r>
          </w:p>
        </w:tc>
        <w:tc>
          <w:tcPr>
            <w:tcW w:type="dxa" w:w="345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SU-05/12；false不等于取消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季度资料收集／追问（A3）</w:t>
            </w:r>
          </w:p>
        </w:tc>
        <w:tc>
          <w:tcPr>
            <w:tcW w:type="dxa" w:w="368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范围确认、缺失列明、同粒度汇总</w:t>
            </w:r>
          </w:p>
        </w:tc>
        <w:tc>
          <w:tcPr>
            <w:tcW w:type="dxa" w:w="345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SU-11；不将未提交当零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新手难以找到功能（U）</w:t>
            </w:r>
          </w:p>
        </w:tc>
        <w:tc>
          <w:tcPr>
            <w:tcW w:type="dxa" w:w="368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分角色导航及真实页面逐步指南</w:t>
            </w:r>
          </w:p>
        </w:tc>
        <w:tc>
          <w:tcPr>
            <w:tcW w:type="dxa" w:w="345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SU-01/02/18/20；不代操作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需要机会性补位（U）</w:t>
            </w:r>
          </w:p>
        </w:tc>
        <w:tc>
          <w:tcPr>
            <w:tcW w:type="dxa" w:w="368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候补→限时邀约→患者明确接受</w:t>
            </w:r>
          </w:p>
        </w:tc>
        <w:tc>
          <w:tcPr>
            <w:tcW w:type="dxa" w:w="345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SU-13—17；不是临床优先级</w:t>
            </w:r>
          </w:p>
        </w:tc>
      </w:tr>
      <w:tr>
        <w:trPr>
          <w:cantSplit/>
        </w:trPr>
        <w:tc>
          <w:tcPr>
            <w:tcW w:type="dxa" w:w="249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账号和目录靠初始化（现有缺口）</w:t>
            </w:r>
          </w:p>
        </w:tc>
        <w:tc>
          <w:tcPr>
            <w:tcW w:type="dxa" w:w="368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受控账号治理和当前价格维护</w:t>
            </w:r>
          </w:p>
        </w:tc>
        <w:tc>
          <w:tcPr>
            <w:tcW w:type="dxa" w:w="345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SU-21—25；候选源码须回归</w:t>
            </w:r>
          </w:p>
        </w:tc>
      </w:tr>
    </w:tbl>
    <w:p>
      <w:pPr>
        <w:pStyle w:val="Heading2"/>
      </w:pPr>
      <w:r>
        <w:t>共享业务事实与术语</w:t>
      </w:r>
    </w:p>
    <w:p>
      <w:r>
        <w:rPr>
          <w:b w:val="0"/>
        </w:rPr>
        <w:t>患者业务编号是档案标识，不是登录凭据。Visit表示一次预约到结果的过程；计划时间与实际到诊/完成时间分开。治疗意向是计划，实际治疗是事实；Invoice是费用结算说明，不是支付回执或税务发票。</w:t>
      </w:r>
    </w:p>
    <w:p>
      <w:r>
        <w:rPr>
          <w:b w:val="0"/>
        </w:rPr>
        <w:t>角色决定职责，范围决定可办理哪家店或哪些本人记录。诊所1主管和诊所2主管是同一角色的不同范围，不新建两类参与者。医生/医师在界面中的现有称呼，本文统一称“牙医”。</w:t>
      </w:r>
    </w:p>
    <w:p>
      <w:r>
        <w:rPr>
          <w:b w:val="0"/>
        </w:rPr>
        <w:t>Use case中的参与关系不表示发生次序。本报告没有为凑关系而使用include/extend：登录作为受保护场景的前置条件，无治疗等分支写在规约；未将“先A后B”误画成include，也不把部门上下级误画成参与者泛化。[W1]</w:t>
      </w:r>
    </w:p>
    <w:p>
      <w:r>
        <w:rPr>
          <w:b w:val="0"/>
          <w:color w:val="536975"/>
          <w:sz w:val="18"/>
        </w:rPr>
        <w:t>本节归纳：保持相同业务目标进行前后比较；岗位、用户界面与内部代码分层表达。</w:t>
      </w:r>
    </w:p>
    <w:p>
      <w:r>
        <w:br w:type="page"/>
      </w:r>
    </w:p>
    <w:p>
      <w:pPr>
        <w:pStyle w:val="Heading1"/>
      </w:pPr>
      <w:r>
        <w:t>10  系统用例 S01：服务主线</w:t>
      </w:r>
    </w:p>
    <w:p>
      <w:r>
        <w:rPr>
          <w:b w:val="0"/>
          <w:color w:val="536975"/>
          <w:sz w:val="18"/>
        </w:rPr>
        <w:t>系统边界是ADC软件；患者与员工都是软件外部参与者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438532"/>
            <wp:docPr id="7" name="Picture 7" descr="图S01  服务主线系统用例。关联表示参与，不代表相同权限；读写差异在规约中定义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38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图S01  服务主线系统用例。关联表示参与，不代表相同权限；读写差异在规约中定义。</w:t>
      </w:r>
    </w:p>
    <w:p>
      <w:r>
        <w:rPr>
          <w:b w:val="0"/>
        </w:rPr>
        <w:t>SU-03：前台可建档，牙医只能查相关授权资料。SU-05：患者只有本人未开始预约取消路径，前台才有改期/爽约核实。SU-09：患者与工作人员使用不同的对象范围。有效身份与当前范围作为共同前置条件，不重复画“包含登录”。</w:t>
      </w:r>
    </w:p>
    <w:p>
      <w:r>
        <w:br w:type="page"/>
      </w:r>
    </w:p>
    <w:p>
      <w:pPr>
        <w:pStyle w:val="Heading1"/>
      </w:pPr>
      <w:r>
        <w:t>11  系统用例 S02：协同与管理</w:t>
      </w:r>
    </w:p>
    <w:p>
      <w:r>
        <w:rPr>
          <w:b w:val="0"/>
          <w:color w:val="536975"/>
          <w:sz w:val="18"/>
        </w:rPr>
        <w:t>主管协调、患者确认、财务核对不能相互借用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694647" cy="6695999"/>
            <wp:docPr id="8" name="Picture 8" descr="图S02  协同与管理用例。前台有候补代办和过期回收权限，但无主管方案发布权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4647" cy="6695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图S02  协同与管理用例。前台有候补代办和过期回收权限，但无主管方案发布权。</w:t>
      </w:r>
    </w:p>
    <w:p>
      <w:r>
        <w:rPr>
          <w:b w:val="0"/>
        </w:rPr>
        <w:t>SU-10牙医申请、财务审核；同账号即使切换身份也不得自批。SU-11财务维护、总部只读。SU-16接受可由患者或经其明确确认的前台办理，主管不能直接替患者接受。SU-17是手动回收，不存在自动后台参与者。</w:t>
      </w:r>
    </w:p>
    <w:p>
      <w:r>
        <w:br w:type="page"/>
      </w:r>
    </w:p>
    <w:p>
      <w:pPr>
        <w:pStyle w:val="Heading1"/>
      </w:pPr>
      <w:r>
        <w:t>12  系统用例 S03：身份、引导与治理</w:t>
      </w:r>
    </w:p>
    <w:p>
      <w:r>
        <w:rPr>
          <w:b w:val="0"/>
          <w:color w:val="536975"/>
          <w:sz w:val="18"/>
        </w:rPr>
        <w:t>通用参与者是图形归并，不赋予每个账号全部功能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6060506"/>
            <wp:docPr id="9" name="Picture 9" descr="图S03  身份、引导与治理。外部模型仅为SU-18的可选支持者，不直接关联预约或审批写入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6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 w:val="0"/>
        </w:rPr>
        <w:t>图S03  身份、引导与治理。外部模型仅为SU-18的可选支持者，不直接关联预约或审批写入。</w:t>
      </w:r>
    </w:p>
    <w:p>
      <w:r>
        <w:rPr>
          <w:b w:val="0"/>
        </w:rPr>
        <w:t>SU-21—24是v0.8-alpha.1新增需求；SU-25为本轮有限目录增量。技术管理只能维护允许的其他普通账号，不得由此取得临床审批能力。价格目录维护由财务负责，总部只有查阅路径；其他完整目录生命周期继续留待后续。</w:t>
      </w:r>
    </w:p>
    <w:p>
      <w:r>
        <w:rPr>
          <w:b w:val="0"/>
        </w:rPr>
        <w:t>既有单身份也选择的行为被R1.0修订：唯一有效身份自动激活，多身份明确选；主管/前台进入工作台后仍需选择诊所。UI省略点击不省略服务器授权和上下文建立。[U]</w:t>
      </w:r>
    </w:p>
    <w:p>
      <w:r>
        <w:br w:type="page"/>
      </w:r>
    </w:p>
    <w:p>
      <w:pPr>
        <w:pStyle w:val="Heading1"/>
      </w:pPr>
      <w:r>
        <w:t>13  共享业务规则与不变量</w:t>
      </w:r>
    </w:p>
    <w:p>
      <w:r>
        <w:rPr>
          <w:b w:val="0"/>
          <w:color w:val="536975"/>
          <w:sz w:val="18"/>
        </w:rPr>
        <w:t>规则约束每条主流程与失败路径，而不只约束页面外观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587"/>
        <w:gridCol w:w="6917"/>
      </w:tblGrid>
      <w:tr>
        <w:trPr>
          <w:cantSplit/>
          <w:tblHeader/>
        </w:trPr>
        <w:tc>
          <w:tcPr>
            <w:tcW w:type="dxa" w:w="113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编号</w:t>
            </w:r>
          </w:p>
        </w:tc>
        <w:tc>
          <w:tcPr>
            <w:tcW w:type="dxa" w:w="1587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主题</w:t>
            </w:r>
          </w:p>
        </w:tc>
        <w:tc>
          <w:tcPr>
            <w:tcW w:type="dxa" w:w="6917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约束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BR-01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授权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当前有效账号、激活身份、同一角色范围绑定、对象及状态共同决定权限；选择身份不新增授权。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BR-02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工作上下文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切身份清除旧诊所；切店保留身份。旧上下文表单不得继续写入；单身份自动激活。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BR-03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患者与过敏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编号跨店复用；未知、无已知过敏与已知条目分开；电话不是唯一身份。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BR-04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时间占用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开始早于结束，位于可用出诊段；同患者或牙医的有效预约／保留不得重叠。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BR-05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确认与重试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显示的信息不预占成功；用户确认后重新检查。定义为幂等的成功重试不得产生第二份结果。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BR-06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到诊与状态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已预约、取消、爽约、改期替代到诊为false；已到诊、治疗完成、无治疗关闭为true。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BR-07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治疗事实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实际治疗须由负责牙医确认；有治疗不得选择无治疗关闭；治疗意向不自动成为收费行。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BR-08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账单与历史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一次闭合就诊恰一逻辑单号；当前版本属于同次就诊。十进制逐行四舍五入至分，再汇总；历史不可普通改写。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BR-09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有限更正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只改一条原治疗行数量或单价；不同账号审核，基版重验，批准后新版本替代当前指针。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BR-10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季度完整性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纳入清单须确认，遗漏开单牙医或任一未确认成本阻止完整测算；有成本无收入者也需纳入。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BR-11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季度口径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收入为当前有效开单金额，按完成时间归自然季度；正总体利润才测算10%基金，不给出个人分配。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BR-12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运营分母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按计划日期且已到结束时间，分开患者取消、诊所取消、爽约与待核实；零分母N/A。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BR-13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候补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每人最多一条有效需求；now≤开始，结束−开始≥30分钟，结束≤now+14天。邀约有效至发布15分钟或开始时间较早者。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BR-14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有限排程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固定30分钟；最多60需求、80出诊段、200候选格。只对枚举图最大化人数；草案15分钟后需重算。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BR-15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操作指南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真实页面目录＋当前角色；用户手动办理。下一步不代表业务完成；外发须同意，失败明示本地降级。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BR-16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账号治理</w:t>
            </w:r>
          </w:p>
        </w:tc>
        <w:tc>
          <w:tcPr>
            <w:tcW w:type="dxa" w:w="691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再次核验管理密码、目标状态和理由；不自改权限、不覆盖身份绑定；未闭合关联业务阻止有关停用。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BR-17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价格目录</w:t>
            </w:r>
          </w:p>
        </w:tc>
        <w:tc>
          <w:tcPr>
            <w:tcW w:type="dxa" w:w="691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新增用唯一编码；已有项目仅改当前标准单价。调价不追溯更改已记录治疗或账单；完整停用/改名另行设计。</w:t>
            </w:r>
          </w:p>
        </w:tc>
      </w:tr>
    </w:tbl>
    <w:p>
      <w:r>
        <w:rPr>
          <w:b w:val="0"/>
          <w:sz w:val="18"/>
        </w:rPr>
        <w:t>以上除案例明确部分外均为D设计补充。业务不变量借鉴课程N3第11页的“模型＋不变量＋操作前后条件”结构；不是由框架自动保证的结论。</w:t>
      </w:r>
    </w:p>
    <w:p>
      <w:r>
        <w:br w:type="page"/>
      </w:r>
    </w:p>
    <w:p>
      <w:pPr>
        <w:pStyle w:val="Heading1"/>
      </w:pPr>
      <w:r>
        <w:t>14  质量要求、数据口径与验收方式</w:t>
      </w:r>
    </w:p>
    <w:p>
      <w:r>
        <w:rPr>
          <w:b w:val="0"/>
          <w:color w:val="536975"/>
          <w:sz w:val="18"/>
        </w:rPr>
        <w:t>用可核对的条件替代“安全、快速、易用”等口号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6123"/>
        <w:gridCol w:w="1587"/>
      </w:tblGrid>
      <w:tr>
        <w:trPr>
          <w:cantSplit/>
          <w:tblHeader/>
        </w:trPr>
        <w:tc>
          <w:tcPr>
            <w:tcW w:type="dxa" w:w="192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质量要求</w:t>
            </w:r>
          </w:p>
        </w:tc>
        <w:tc>
          <w:tcPr>
            <w:tcW w:type="dxa" w:w="6123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可观察验收条件</w:t>
            </w:r>
          </w:p>
        </w:tc>
        <w:tc>
          <w:tcPr>
            <w:tcW w:type="dxa" w:w="1587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NFR-01 权限</w:t>
            </w:r>
          </w:p>
        </w:tc>
        <w:tc>
          <w:tcPr>
            <w:tcW w:type="dxa" w:w="612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无权URL/POST不返回受限数据；撤权、换角色/店后旧表单拒绝；检查写入前后事实。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必须回归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NFR-02 原子性</w:t>
            </w:r>
          </w:p>
        </w:tc>
        <w:tc>
          <w:tcPr>
            <w:tcW w:type="dxa" w:w="612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注入审计/保存失败，预约、治疗、账单和关联状态不能部分成功。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需真实数据库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NFR-03 重试与竞争</w:t>
            </w:r>
          </w:p>
        </w:tc>
        <w:tc>
          <w:tcPr>
            <w:tcW w:type="dxa" w:w="612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重复接受、重复开单保持唯一；并发同资源冲突不得都成功。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需独立连接测试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NFR-04 可访问交互</w:t>
            </w:r>
          </w:p>
        </w:tc>
        <w:tc>
          <w:tcPr>
            <w:tcW w:type="dxa" w:w="612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320/390px及桌面、标准/大字下可找到主要动作；键盘可操作；错误有文字且可恢复。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目标，非全面认证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NFR-05 输入预防</w:t>
            </w:r>
          </w:p>
        </w:tc>
        <w:tc>
          <w:tcPr>
            <w:tcW w:type="dxa" w:w="612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先开始后结束；非法时间不进入增强选项，绕过JS仍被服务器拒绝；不依赖浏览器本地时区。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候选需回归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NFR-06 AI边界</w:t>
            </w:r>
          </w:p>
        </w:tc>
        <w:tc>
          <w:tcPr>
            <w:tcW w:type="dxa" w:w="612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无Key、超时、畸形返回时普通业务仍能办；不发档案、密钥或整页表单，不声称诊断或自动执行。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接口契约＋实测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NFR-07 历史核查</w:t>
            </w:r>
          </w:p>
        </w:tc>
        <w:tc>
          <w:tcPr>
            <w:tcW w:type="dxa" w:w="6123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价格更新和数字更正后，旧单可读、总额可复算；当前报表不重复计入历史版本。</w:t>
            </w:r>
          </w:p>
        </w:tc>
        <w:tc>
          <w:tcPr>
            <w:tcW w:type="dxa" w:w="158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必须回归</w:t>
            </w:r>
          </w:p>
        </w:tc>
      </w:tr>
      <w:tr>
        <w:trPr>
          <w:cantSplit/>
        </w:trPr>
        <w:tc>
          <w:tcPr>
            <w:tcW w:type="dxa" w:w="19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NFR-08 发布与恢复</w:t>
            </w:r>
          </w:p>
        </w:tc>
        <w:tc>
          <w:tcPr>
            <w:tcW w:type="dxa" w:w="6123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版本、源码、迁移、测试证据对应；备份应恢复到隔离库后核对。localhost不当公网。</w:t>
            </w:r>
          </w:p>
        </w:tc>
        <w:tc>
          <w:tcPr>
            <w:tcW w:type="dxa" w:w="158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发布前条件</w:t>
            </w:r>
          </w:p>
        </w:tc>
      </w:tr>
    </w:tbl>
    <w:p>
      <w:pPr>
        <w:pStyle w:val="Heading2"/>
      </w:pPr>
      <w:r>
        <w:t>关键数据解释</w:t>
      </w:r>
    </w:p>
    <w:p>
      <w:r>
        <w:rPr>
          <w:b w:val="0"/>
        </w:rPr>
        <w:t>预约／就诊、治疗行、内容版本和牙医季度成本具有不同粒度。先将当前有效账单汇总到牙医季度，再与同粒度成本组合，不能在治疗明细联结中重复累加季度成本。</w:t>
      </w:r>
    </w:p>
    <w:p>
      <w:r>
        <w:rPr>
          <w:b w:val="0"/>
        </w:rPr>
        <w:t>运营定义：A为已到诊，Cp为患者取消，Cc为诊所取消，N为爽约，U为到期待核实。D=A+Cp+N；患者取消率=Cp/D，爽约率=N/D；状态完整率=(A+Cp+Cc+N)/(A+Cp+Cc+N+U)。分母为0显示N/A。未来和改期替代记录单列。[D]</w:t>
      </w:r>
    </w:p>
    <w:p>
      <w:r>
        <w:rPr>
          <w:b w:val="0"/>
        </w:rPr>
        <w:t>资料完整只表示当前登记资料通过核对，不证明真实机构数据绝无遗漏。排程和报表均不用于判断临床质量或因果效果。</w:t>
      </w:r>
    </w:p>
    <w:p>
      <w:r>
        <w:rPr>
          <w:b w:val="0"/>
          <w:color w:val="536975"/>
          <w:sz w:val="18"/>
        </w:rPr>
        <w:t>本节归纳：质量要求必须说明测试对象和失败结果；测试数量不能代替需求覆盖。 [N3，第4—5页]</w:t>
      </w:r>
    </w:p>
    <w:p>
      <w:r>
        <w:br w:type="page"/>
      </w:r>
    </w:p>
    <w:p>
      <w:pPr>
        <w:pStyle w:val="Heading1"/>
      </w:pPr>
      <w:r>
        <w:t>15  用例规约 SU-01 / SU-02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SU-01  登录、选择与切换身份</w:t>
      </w:r>
    </w:p>
    <w:p>
      <w:r>
        <w:rPr>
          <w:b w:val="0"/>
          <w:sz w:val="19"/>
        </w:rPr>
        <w:t>主要参与者：所有系统用户。  触发：登录或点击“切换身份”。</w:t>
      </w:r>
    </w:p>
    <w:p>
      <w:r>
        <w:rPr>
          <w:b w:val="0"/>
          <w:sz w:val="19"/>
        </w:rPr>
        <w:t>前置条件：登录页可访问；用户提交自己的账号凭据。已登录用户可发起身份切换。</w:t>
      </w:r>
    </w:p>
    <w:p>
      <w:r>
        <w:rPr>
          <w:b w:val="0"/>
          <w:sz w:val="19"/>
        </w:rPr>
        <w:t>1）系统验证凭据并读取当前有效身份；失败时不进入工作台。</w:t>
      </w:r>
    </w:p>
    <w:p>
      <w:r>
        <w:rPr>
          <w:b w:val="0"/>
          <w:sz w:val="19"/>
        </w:rPr>
        <w:t>2）仅一个有效身份时由服务器自动激活；多个身份时展示选择页，用户明确选择。</w:t>
      </w:r>
    </w:p>
    <w:p>
      <w:r>
        <w:rPr>
          <w:b w:val="0"/>
          <w:sz w:val="19"/>
        </w:rPr>
        <w:t>3）激活身份并清除不适用的旧诊所范围，进入该身份的独立工作台。前台／主管仍在工作台内另选诊所。</w:t>
      </w:r>
    </w:p>
    <w:p>
      <w:r>
        <w:rPr>
          <w:b w:val="0"/>
          <w:sz w:val="18"/>
        </w:rPr>
        <w:t>替代／异常路径：1a 凭据错误或账号停用：显示可理解的失败提示，不返回敏感账户信息。；2a 无有效身份：提示待授权并允许退出；不能自动分配权限。；2b 选择时授权已撤销：拒绝激活；单身份不显示无意义的切换身份入口。</w:t>
      </w:r>
    </w:p>
    <w:p>
      <w:r>
        <w:rPr>
          <w:b w:val="0"/>
          <w:sz w:val="19"/>
        </w:rPr>
        <w:t>成功后置条件：只改变当前工作身份，不增加权限，不改变已有业务记录。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追踪：横向：G3；BR-01, BR-02；AC-01：单身份进入相应工作台、多身份出现选择页；无身份不取得业务权限。</w:t>
      </w:r>
    </w:p>
    <w:p>
      <w:r>
        <w:rPr>
          <w:b w:val="0"/>
          <w:sz w:val="4"/>
        </w:rPr>
      </w:r>
    </w:p>
    <w:p>
      <w:pPr>
        <w:pStyle w:val="Heading2"/>
      </w:pPr>
      <w:r>
        <w:t>SU-02  选择与切换诊所</w:t>
      </w:r>
    </w:p>
    <w:p>
      <w:r>
        <w:rPr>
          <w:b w:val="0"/>
          <w:sz w:val="19"/>
        </w:rPr>
        <w:t>主要参与者：当前为前台或主管的用户。  触发：进入角色首页或点击“切换诊所”。</w:t>
      </w:r>
    </w:p>
    <w:p>
      <w:r>
        <w:rPr>
          <w:b w:val="0"/>
          <w:sz w:val="19"/>
        </w:rPr>
        <w:t>前置条件：已经选择身份；该身份至少有一个有效诊所范围。</w:t>
      </w:r>
    </w:p>
    <w:p>
      <w:r>
        <w:rPr>
          <w:b w:val="0"/>
          <w:sz w:val="19"/>
        </w:rPr>
        <w:t>1）在工作台列出当前身份可进入的诊所。</w:t>
      </w:r>
    </w:p>
    <w:p>
      <w:r>
        <w:rPr>
          <w:b w:val="0"/>
          <w:sz w:val="19"/>
        </w:rPr>
        <w:t>2）用户明确选择一店；服务端核对该身份下的诊所绑定。</w:t>
      </w:r>
    </w:p>
    <w:p>
      <w:r>
        <w:rPr>
          <w:b w:val="0"/>
          <w:sz w:val="19"/>
        </w:rPr>
        <w:t>3）显示该店导航、数据与页首范围；身份保持不变。</w:t>
      </w:r>
    </w:p>
    <w:p>
      <w:r>
        <w:rPr>
          <w:b w:val="0"/>
          <w:sz w:val="18"/>
        </w:rPr>
        <w:t>替代／异常路径：1a 没有有效诊所：说明原因，不展示合并数据。；2a 目标诊所停用或无授权：拒绝，不能借用另一角色的范围。；3a 切换后旧表单提交：拒绝并要求刷新。</w:t>
      </w:r>
    </w:p>
    <w:p>
      <w:r>
        <w:rPr>
          <w:b w:val="0"/>
          <w:sz w:val="19"/>
        </w:rPr>
        <w:t>成功后置条件：当前店明确；另一家店的业务不会混入当前查询或提交。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追踪：横向：G3；BR-01, BR-02；AC-02：主管换店只改变该角色范围；提交旧表单被拒绝。</w:t>
      </w:r>
    </w:p>
    <w:p>
      <w:r>
        <w:br w:type="page"/>
      </w:r>
    </w:p>
    <w:p>
      <w:pPr>
        <w:pStyle w:val="Heading1"/>
      </w:pPr>
      <w:r>
        <w:t>15  用例规约 SU-03 / SU-04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SU-03  建立与查阅患者档案</w:t>
      </w:r>
    </w:p>
    <w:p>
      <w:r>
        <w:rPr>
          <w:b w:val="0"/>
          <w:sz w:val="19"/>
        </w:rPr>
        <w:t>主要参与者：前台建档；负责牙医查阅授权记录。  触发：新患者需要建档，或工作人员需要查阅。</w:t>
      </w:r>
    </w:p>
    <w:p>
      <w:r>
        <w:rPr>
          <w:b w:val="0"/>
          <w:sz w:val="19"/>
        </w:rPr>
        <w:t>前置条件：有效工作身份与范围；仅使用合成资料。</w:t>
      </w:r>
    </w:p>
    <w:p>
      <w:r>
        <w:rPr>
          <w:b w:val="0"/>
          <w:sz w:val="19"/>
        </w:rPr>
        <w:t>1）前台先检索已知患者编号或核对已有记录；无法确认身份时先人工核对。</w:t>
      </w:r>
    </w:p>
    <w:p>
      <w:r>
        <w:rPr>
          <w:b w:val="0"/>
          <w:sz w:val="19"/>
        </w:rPr>
        <w:t>2）确需新增时填写姓名、出生日期、账单地址、电话、可选邮箱、紧急联系人及逐项过敏信息。</w:t>
      </w:r>
    </w:p>
    <w:p>
      <w:r>
        <w:rPr>
          <w:b w:val="0"/>
          <w:sz w:val="19"/>
        </w:rPr>
        <w:t>3）系统校验后生成稳定编号并保存；牙医仅查阅与其接诊相关的授权资料。</w:t>
      </w:r>
    </w:p>
    <w:p>
      <w:r>
        <w:rPr>
          <w:b w:val="0"/>
          <w:sz w:val="18"/>
        </w:rPr>
        <w:t>替代／异常路径：1a 发现可能重复时，由前台核对后决定是否建档；目前不承诺系统自动重复检测或档案合并。；2a 必填缺失、未来出生日期或过敏状态矛盾：阻止保存。；3a 无关联/无授权的直接访问：拒绝，不泄露资料。</w:t>
      </w:r>
    </w:p>
    <w:p>
      <w:r>
        <w:rPr>
          <w:b w:val="0"/>
          <w:sz w:val="19"/>
        </w:rPr>
        <w:t>成功后置条件：成功时形成一份一致档案；失败不留下半条记录。完整资料编辑/合并另列后续。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追踪：BU-01；BR-03；AC-03：相同电话不自动合并；未知过敏不显示为无过敏。</w:t>
      </w:r>
    </w:p>
    <w:p>
      <w:r>
        <w:rPr>
          <w:b w:val="0"/>
          <w:sz w:val="4"/>
        </w:rPr>
      </w:r>
    </w:p>
    <w:p>
      <w:pPr>
        <w:pStyle w:val="Heading2"/>
      </w:pPr>
      <w:r>
        <w:t>SU-04  创建预约</w:t>
      </w:r>
    </w:p>
    <w:p>
      <w:r>
        <w:rPr>
          <w:b w:val="0"/>
          <w:sz w:val="19"/>
        </w:rPr>
        <w:t>主要参与者：患者或当前诊所前台。  触发：用户提出预约并进入确认。</w:t>
      </w:r>
    </w:p>
    <w:p>
      <w:r>
        <w:rPr>
          <w:b w:val="0"/>
          <w:sz w:val="19"/>
        </w:rPr>
        <w:t>前置条件：有效患者；牙医、诊所及出诊时段可用。</w:t>
      </w:r>
    </w:p>
    <w:p>
      <w:r>
        <w:rPr>
          <w:b w:val="0"/>
          <w:sz w:val="19"/>
        </w:rPr>
        <w:t>1）患者选择30分钟候选段；前台可填写合法起止时段。</w:t>
      </w:r>
    </w:p>
    <w:p>
      <w:r>
        <w:rPr>
          <w:b w:val="0"/>
          <w:sz w:val="19"/>
        </w:rPr>
        <w:t>2）展示患者/诊所/牙医/北京时间，用户明确确认。</w:t>
      </w:r>
    </w:p>
    <w:p>
      <w:r>
        <w:rPr>
          <w:b w:val="0"/>
          <w:sz w:val="19"/>
        </w:rPr>
        <w:t>3）提交时重新检查范围、患者与牙医占用及有效候补保留。</w:t>
      </w:r>
    </w:p>
    <w:p>
      <w:r>
        <w:rPr>
          <w:b w:val="0"/>
          <w:sz w:val="19"/>
        </w:rPr>
        <w:t>4）成功后显示预约编号与已预约状态。</w:t>
      </w:r>
    </w:p>
    <w:p>
      <w:r>
        <w:rPr>
          <w:b w:val="0"/>
          <w:sz w:val="18"/>
        </w:rPr>
        <w:t>替代／异常路径：1a 页面过期、签名不符或范围改变：不创建。；2a 并发争用同一资源：冲突一方收到重新选择提示。；3a 保存或审计失败：撤销本次关联写入；重试成功回执不重复预约。</w:t>
      </w:r>
    </w:p>
    <w:p>
      <w:r>
        <w:rPr>
          <w:b w:val="0"/>
          <w:sz w:val="19"/>
        </w:rPr>
        <w:t>成功后置条件：一条可查询且不冲突的预约；没有隐含治疗确认或付款。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追踪：BU-01；BR-04, BR-05；AC-04：同患者或牙医的冲突预约不能同时成功；保存后可按编号查询。</w:t>
      </w:r>
    </w:p>
    <w:p>
      <w:r>
        <w:br w:type="page"/>
      </w:r>
    </w:p>
    <w:p>
      <w:pPr>
        <w:pStyle w:val="Heading1"/>
      </w:pPr>
      <w:r>
        <w:t>15  用例规约 SU-05 / SU-06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SU-05  调整预约结果</w:t>
      </w:r>
    </w:p>
    <w:p>
      <w:r>
        <w:rPr>
          <w:b w:val="0"/>
          <w:sz w:val="19"/>
        </w:rPr>
        <w:t>主要参与者：前台；患者仅本人未开始预约取消。  触发：取消、改期或核实爽约。</w:t>
      </w:r>
    </w:p>
    <w:p>
      <w:r>
        <w:rPr>
          <w:b w:val="0"/>
          <w:sz w:val="19"/>
        </w:rPr>
        <w:t>前置条件：目标尚在允许操作的状态；范围与修订号有效。</w:t>
      </w:r>
    </w:p>
    <w:p>
      <w:r>
        <w:rPr>
          <w:b w:val="0"/>
          <w:sz w:val="19"/>
        </w:rPr>
        <w:t>1）用户核对目标预约并选择一种操作；患者仅能取消本人尚未开始的预约。</w:t>
      </w:r>
    </w:p>
    <w:p>
      <w:r>
        <w:rPr>
          <w:b w:val="0"/>
          <w:sz w:val="19"/>
        </w:rPr>
        <w:t>2）前台取消须记录发起方与原因；改期需选新时段；核实爽约需确认原计划结束时间已到。三条路径互斥。</w:t>
      </w:r>
    </w:p>
    <w:p>
      <w:r>
        <w:rPr>
          <w:b w:val="0"/>
          <w:sz w:val="19"/>
        </w:rPr>
        <w:t>3）用户确认后系统重验状态与范围，再保存该操作；改期保留原记录并关联新预约。</w:t>
      </w:r>
    </w:p>
    <w:p>
      <w:r>
        <w:rPr>
          <w:b w:val="0"/>
          <w:sz w:val="18"/>
        </w:rPr>
        <w:t>替代／异常路径：1a 尚未到结束时间：不能认定爽约。；2a 已到诊/已结束：普通取消或改期被拒绝。；3a 新时段失败：原预约继续有效。患者改期仍联系前台。</w:t>
      </w:r>
    </w:p>
    <w:p>
      <w:r>
        <w:rPr>
          <w:b w:val="0"/>
          <w:sz w:val="19"/>
        </w:rPr>
        <w:t>成功后置条件：状态、到诊标志和历史一致。当前单店工作台的普通改期仅选择当前店时段。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追踪：BU-02；BR-04, BR-06；AC-05：新时段失败时原预约仍有效；取消／爽约不产生治疗账单。</w:t>
      </w:r>
    </w:p>
    <w:p>
      <w:r>
        <w:rPr>
          <w:b w:val="0"/>
          <w:sz w:val="4"/>
        </w:rPr>
      </w:r>
    </w:p>
    <w:p>
      <w:pPr>
        <w:pStyle w:val="Heading2"/>
      </w:pPr>
      <w:r>
        <w:t>SU-06  登记实际到诊</w:t>
      </w:r>
    </w:p>
    <w:p>
      <w:r>
        <w:rPr>
          <w:b w:val="0"/>
          <w:sz w:val="19"/>
        </w:rPr>
        <w:t>主要参与者：当前诊所前台。  触发：工作人员选择“登记到诊”。</w:t>
      </w:r>
    </w:p>
    <w:p>
      <w:r>
        <w:rPr>
          <w:b w:val="0"/>
          <w:sz w:val="19"/>
        </w:rPr>
        <w:t>前置条件：目标为已预约；已核对真实到达的患者。</w:t>
      </w:r>
    </w:p>
    <w:p>
      <w:r>
        <w:rPr>
          <w:b w:val="0"/>
          <w:sz w:val="19"/>
        </w:rPr>
        <w:t>1）打开当前店目标预约，核对人和时间。</w:t>
      </w:r>
    </w:p>
    <w:p>
      <w:r>
        <w:rPr>
          <w:b w:val="0"/>
          <w:sz w:val="19"/>
        </w:rPr>
        <w:t>2）选择登记到诊并亲自确认。</w:t>
      </w:r>
    </w:p>
    <w:p>
      <w:r>
        <w:rPr>
          <w:b w:val="0"/>
          <w:sz w:val="19"/>
        </w:rPr>
        <w:t>3）更新到诊状态、实际到诊时间与事件记录。</w:t>
      </w:r>
    </w:p>
    <w:p>
      <w:r>
        <w:rPr>
          <w:b w:val="0"/>
          <w:sz w:val="18"/>
        </w:rPr>
        <w:t>替代／异常路径：1a 已经取消/爽约/改期替代：拒绝直接到诊。；2a 旧修订号或授权撤回：拒绝并提示刷新。；3a 重复或失败请求不产生第二次独立接诊。</w:t>
      </w:r>
    </w:p>
    <w:p>
      <w:r>
        <w:rPr>
          <w:b w:val="0"/>
          <w:sz w:val="19"/>
        </w:rPr>
        <w:t>成功后置条件：到诊=true，状态已到诊；此时尚无治疗完成或收款事实。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追踪：BU-01；BR-06；AC-06：成功后到诊为真并记录实际时间；不产生完成治疗假象。</w:t>
      </w:r>
    </w:p>
    <w:p>
      <w:r>
        <w:br w:type="page"/>
      </w:r>
    </w:p>
    <w:p>
      <w:pPr>
        <w:pStyle w:val="Heading1"/>
      </w:pPr>
      <w:r>
        <w:t>15  用例规约 SU-07 / SU-08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SU-07  复核信息与记录实际治疗</w:t>
      </w:r>
    </w:p>
    <w:p>
      <w:r>
        <w:rPr>
          <w:b w:val="0"/>
          <w:sz w:val="19"/>
        </w:rPr>
        <w:t>主要参与者：本次负责牙医。  触发：从接诊队列进入工作区。</w:t>
      </w:r>
    </w:p>
    <w:p>
      <w:r>
        <w:rPr>
          <w:b w:val="0"/>
          <w:sz w:val="19"/>
        </w:rPr>
        <w:t>前置条件：牙医身份有效，目标本人负责且已到诊。</w:t>
      </w:r>
    </w:p>
    <w:p>
      <w:r>
        <w:rPr>
          <w:b w:val="0"/>
          <w:sz w:val="19"/>
        </w:rPr>
        <w:t>1）查看主诉和已记录过敏，复核当次知识状态。</w:t>
      </w:r>
    </w:p>
    <w:p>
      <w:r>
        <w:rPr>
          <w:b w:val="0"/>
          <w:sz w:val="19"/>
        </w:rPr>
        <w:t>2）逐项选择实际提供的治疗与数量，确认当时价格和单位。</w:t>
      </w:r>
    </w:p>
    <w:p>
      <w:r>
        <w:rPr>
          <w:b w:val="0"/>
          <w:sz w:val="19"/>
        </w:rPr>
        <w:t>3）保存事实与必要快照；误录草稿行可说明原因后撤回。</w:t>
      </w:r>
    </w:p>
    <w:p>
      <w:r>
        <w:rPr>
          <w:b w:val="0"/>
          <w:sz w:val="18"/>
        </w:rPr>
        <w:t>替代／异常路径：1a 未知过敏可以保存草稿，但不能当作已确认无过敏。；2a 数量/价格不合法或页面过期：阻止保存。；3a 已发布内容不在此处直接修改；非本人接诊拒绝。</w:t>
      </w:r>
    </w:p>
    <w:p>
      <w:r>
        <w:rPr>
          <w:b w:val="0"/>
          <w:sz w:val="19"/>
        </w:rPr>
        <w:t>成功后置条件：形成可供核对的实际治疗草稿；预约意向不会自动计费。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 / BU-03；BR-03, BR-07；AC-07：预约意向不自动变成实际收费行；草稿撤回与已发布更正分开。</w:t>
      </w:r>
    </w:p>
    <w:p>
      <w:r>
        <w:rPr>
          <w:b w:val="0"/>
          <w:sz w:val="4"/>
        </w:rPr>
      </w:r>
    </w:p>
    <w:p>
      <w:pPr>
        <w:pStyle w:val="Heading2"/>
      </w:pPr>
      <w:r>
        <w:t>SU-08  完成就诊并生成结算单</w:t>
      </w:r>
    </w:p>
    <w:p>
      <w:r>
        <w:rPr>
          <w:b w:val="0"/>
          <w:sz w:val="19"/>
        </w:rPr>
        <w:t>主要参与者：本次负责牙医。  触发：核对后明确关闭本次接诊。</w:t>
      </w:r>
    </w:p>
    <w:p>
      <w:r>
        <w:rPr>
          <w:b w:val="0"/>
          <w:sz w:val="19"/>
        </w:rPr>
        <w:t>前置条件：已到诊；有治疗时过敏已复核、实际明细已确认。</w:t>
      </w:r>
    </w:p>
    <w:p>
      <w:r>
        <w:rPr>
          <w:b w:val="0"/>
          <w:sz w:val="19"/>
        </w:rPr>
        <w:t>1）展示当前实际治疗明细、数量、单价、行小计与总额，牙医核对。</w:t>
      </w:r>
    </w:p>
    <w:p>
      <w:r>
        <w:rPr>
          <w:b w:val="0"/>
          <w:sz w:val="19"/>
        </w:rPr>
        <w:t>2）有治疗选择“治疗完成”；确实没有治疗则选择“无治疗关闭”并填写原因，两种路径互斥。</w:t>
      </w:r>
    </w:p>
    <w:p>
      <w:r>
        <w:rPr>
          <w:b w:val="0"/>
          <w:sz w:val="19"/>
        </w:rPr>
        <w:t>3）用户明确确认后，系统保存完成结果及唯一结算单，返回可查阅结果。</w:t>
      </w:r>
    </w:p>
    <w:p>
      <w:r>
        <w:rPr>
          <w:b w:val="0"/>
          <w:sz w:val="18"/>
        </w:rPr>
        <w:t>替代／异常路径：1a 有治疗却选无治疗：拒绝；不得伪造或抹掉事实。；2a 无治疗允许未知信息仍为未知，生成零明细零金额单。；3a 重复完成返回既有结果；中途失败不留下半完成账单。</w:t>
      </w:r>
    </w:p>
    <w:p>
      <w:r>
        <w:rPr>
          <w:b w:val="0"/>
          <w:sz w:val="19"/>
        </w:rPr>
        <w:t>成功后置条件：闭合就诊恰有一张逻辑结算单；到诊仍为true；不代表已收款。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 / BU-03；BR-07, BR-08；AC-08：一次闭合就诊恰一单；无治疗分支为零行零金额且原因必填。</w:t>
      </w:r>
    </w:p>
    <w:p>
      <w:r>
        <w:br w:type="page"/>
      </w:r>
    </w:p>
    <w:p>
      <w:pPr>
        <w:pStyle w:val="Heading1"/>
      </w:pPr>
      <w:r>
        <w:t>15  用例规约 SU-09 / SU-10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SU-09  查阅与打印结算单</w:t>
      </w:r>
    </w:p>
    <w:p>
      <w:r>
        <w:rPr>
          <w:b w:val="0"/>
          <w:sz w:val="19"/>
        </w:rPr>
        <w:t>主要参与者：本人患者、授权前台/负责牙医/财务。  触发：用户打开账单或选择历史版本。</w:t>
      </w:r>
    </w:p>
    <w:p>
      <w:r>
        <w:rPr>
          <w:b w:val="0"/>
          <w:sz w:val="19"/>
        </w:rPr>
        <w:t>前置条件：账单已发布；对象属于当前允许范围。</w:t>
      </w:r>
    </w:p>
    <w:p>
      <w:r>
        <w:rPr>
          <w:b w:val="0"/>
          <w:sz w:val="19"/>
        </w:rPr>
        <w:t>1）核对单号、患者、诊所、负责牙医及时间。</w:t>
      </w:r>
    </w:p>
    <w:p>
      <w:r>
        <w:rPr>
          <w:b w:val="0"/>
          <w:sz w:val="19"/>
        </w:rPr>
        <w:t>2）查看由对应版本实际治疗构成的明细与总额。</w:t>
      </w:r>
    </w:p>
    <w:p>
      <w:r>
        <w:rPr>
          <w:b w:val="0"/>
          <w:sz w:val="19"/>
        </w:rPr>
        <w:t>3）必要时选择已发布历史版本或手动打印。</w:t>
      </w:r>
    </w:p>
    <w:p>
      <w:r>
        <w:rPr>
          <w:b w:val="0"/>
          <w:sz w:val="18"/>
        </w:rPr>
        <w:t>替代／异常路径：1a 其他患者/诊所的对象：拒绝。；2a 草稿版本不对患者公开；未开单不解释为免费。；3a 历史打印明确“非当前”，不新增一笔交易。</w:t>
      </w:r>
    </w:p>
    <w:p>
      <w:r>
        <w:rPr>
          <w:b w:val="0"/>
          <w:sz w:val="19"/>
        </w:rPr>
        <w:t>成功后置条件：只读展示；任何目录调价不改变历史单据内容。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追踪：BU-03；BR-08；AC-09：调目录价不改变旧单；其他患者不能读取该单。</w:t>
      </w:r>
    </w:p>
    <w:p>
      <w:r>
        <w:rPr>
          <w:b w:val="0"/>
          <w:sz w:val="4"/>
        </w:rPr>
      </w:r>
    </w:p>
    <w:p>
      <w:pPr>
        <w:pStyle w:val="Heading2"/>
      </w:pPr>
      <w:r>
        <w:t>SU-10  申请与审核账单数字更正</w:t>
      </w:r>
    </w:p>
    <w:p>
      <w:r>
        <w:rPr>
          <w:b w:val="0"/>
          <w:sz w:val="19"/>
        </w:rPr>
        <w:t>主要参与者：负责牙医申请；不同账号的财务审核。  触发：发现原治疗行数量或单价误录。</w:t>
      </w:r>
    </w:p>
    <w:p>
      <w:r>
        <w:rPr>
          <w:b w:val="0"/>
          <w:sz w:val="19"/>
        </w:rPr>
        <w:t>前置条件：基版仍为当前版；无另一待审核申请；在允许更正范围内。</w:t>
      </w:r>
    </w:p>
    <w:p>
      <w:r>
        <w:rPr>
          <w:b w:val="0"/>
          <w:sz w:val="19"/>
        </w:rPr>
        <w:t>1）负责牙医提交：选择当前已发布的一条治疗行，填写修正数量或单价及事实依据。</w:t>
      </w:r>
    </w:p>
    <w:p>
      <w:r>
        <w:rPr>
          <w:b w:val="0"/>
          <w:sz w:val="19"/>
        </w:rPr>
        <w:t>2）系统建立完整待审核草稿；原账单继续有效。申请阶段结束，等待独立财务处理。</w:t>
      </w:r>
    </w:p>
    <w:p>
      <w:r>
        <w:rPr>
          <w:b w:val="0"/>
          <w:sz w:val="19"/>
        </w:rPr>
        <w:t>3）财务审核：另一个获授权账号核对差异，明确批准或拒绝，不能修改患者、项目身份或完成时间。</w:t>
      </w:r>
    </w:p>
    <w:p>
      <w:r>
        <w:rPr>
          <w:b w:val="0"/>
          <w:sz w:val="19"/>
        </w:rPr>
        <w:t>4）批准时发布后继版本并切换同一账单当前指针；拒绝时保留原版并标记草稿已弃用。</w:t>
      </w:r>
    </w:p>
    <w:p>
      <w:r>
        <w:rPr>
          <w:b w:val="0"/>
          <w:sz w:val="18"/>
        </w:rPr>
        <w:t>替代／异常路径：1a 同账号切换财务身份自批：仍拒绝。；2a 基版已变化、撤权或非法数值：不发布。；3a 拒绝/技术失败保留原版；不支持项目增删、身份或退款纠错。</w:t>
      </w:r>
    </w:p>
    <w:p>
      <w:r>
        <w:rPr>
          <w:b w:val="0"/>
          <w:sz w:val="19"/>
        </w:rPr>
        <w:t>成功后置条件：单号不变，旧版可查；收入只计当前有效版。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追踪：BU-03 / BU-04；BR-08, BR-09；AC-10：自批被拒绝；批准后旧版可查、统计只计新版。</w:t>
      </w:r>
    </w:p>
    <w:p>
      <w:r>
        <w:br w:type="page"/>
      </w:r>
    </w:p>
    <w:p>
      <w:pPr>
        <w:pStyle w:val="Heading1"/>
      </w:pPr>
      <w:r>
        <w:t>15  用例规约 SU-11 / SU-12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SU-11  形成季度成本与利润核对</w:t>
      </w:r>
    </w:p>
    <w:p>
      <w:r>
        <w:rPr>
          <w:b w:val="0"/>
          <w:sz w:val="19"/>
        </w:rPr>
        <w:t>主要参与者：财务维护；总部授权查阅。  触发：选择季度进行核对。</w:t>
      </w:r>
    </w:p>
    <w:p>
      <w:r>
        <w:rPr>
          <w:b w:val="0"/>
          <w:sz w:val="19"/>
        </w:rPr>
        <w:t>前置条件：自然季度与纳入范围明确，当前角色允许读或写。</w:t>
      </w:r>
    </w:p>
    <w:p>
      <w:r>
        <w:rPr>
          <w:b w:val="0"/>
          <w:sz w:val="19"/>
        </w:rPr>
        <w:t>1）财务维护场景：建立季度并纳入相关牙医，包括有成本而无收入者。</w:t>
      </w:r>
    </w:p>
    <w:p>
      <w:r>
        <w:rPr>
          <w:b w:val="0"/>
          <w:sz w:val="19"/>
        </w:rPr>
        <w:t>2）逐人录入用品成本、运营费用及依据，核对后确认；确认人员范围。</w:t>
      </w:r>
    </w:p>
    <w:p>
      <w:r>
        <w:rPr>
          <w:b w:val="0"/>
          <w:sz w:val="19"/>
        </w:rPr>
        <w:t>3）系统检查未确认成本和遗漏开单人员；不完整时仅展示缺项，不发布完整利润。</w:t>
      </w:r>
    </w:p>
    <w:p>
      <w:r>
        <w:rPr>
          <w:b w:val="0"/>
          <w:sz w:val="19"/>
        </w:rPr>
        <w:t>4）财务／总部查阅场景：按获授权范围查看同一口径的收入、成本、利润及可用的总体基金测算，必要时导出核对。</w:t>
      </w:r>
    </w:p>
    <w:p>
      <w:r>
        <w:rPr>
          <w:b w:val="0"/>
          <w:sz w:val="18"/>
        </w:rPr>
        <w:t>替代／异常路径：1a 未填与确认零值分开；资料不全不发布完整利润。；2a 零/负总体利润：基金政策待确认，不生成负奖金。；3a 旧页面修订号、权限或跨季度对象不符：拒绝写入。</w:t>
      </w:r>
    </w:p>
    <w:p>
      <w:r>
        <w:rPr>
          <w:b w:val="0"/>
          <w:sz w:val="19"/>
        </w:rPr>
        <w:t>成功后置条件：结果带期间、查询时点与口径；不是奖金发放或不可变关账报表。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追踪：BU-04；BR-10, BR-11；AC-11：任何缺失/未确认成本阻止完整利润；确认零值不视为缺失。</w:t>
      </w:r>
    </w:p>
    <w:p>
      <w:r>
        <w:rPr>
          <w:b w:val="0"/>
          <w:sz w:val="4"/>
        </w:rPr>
      </w:r>
    </w:p>
    <w:p>
      <w:pPr>
        <w:pStyle w:val="Heading2"/>
      </w:pPr>
      <w:r>
        <w:t>SU-12  查询运营指标</w:t>
      </w:r>
    </w:p>
    <w:p>
      <w:r>
        <w:rPr>
          <w:b w:val="0"/>
          <w:sz w:val="19"/>
        </w:rPr>
        <w:t>主要参与者：本店主管或授权总部。  触发：用户提交只读筛选条件。</w:t>
      </w:r>
    </w:p>
    <w:p>
      <w:r>
        <w:rPr>
          <w:b w:val="0"/>
          <w:sz w:val="19"/>
        </w:rPr>
        <w:t>前置条件：有当前范围和明确日期区间。</w:t>
      </w:r>
    </w:p>
    <w:p>
      <w:r>
        <w:rPr>
          <w:b w:val="0"/>
          <w:sz w:val="19"/>
        </w:rPr>
        <w:t>1）按计划日期筛选已到计划结束时间的记录。</w:t>
      </w:r>
    </w:p>
    <w:p>
      <w:r>
        <w:rPr>
          <w:b w:val="0"/>
          <w:sz w:val="19"/>
        </w:rPr>
        <w:t>2）按就诊过程区分到诊、患者取消、诊所取消、爽约及待核实。</w:t>
      </w:r>
    </w:p>
    <w:p>
      <w:r>
        <w:rPr>
          <w:b w:val="0"/>
          <w:sz w:val="19"/>
        </w:rPr>
        <w:t>3）显示分子、分母、样本量、查询时刻和缺失说明。</w:t>
      </w:r>
    </w:p>
    <w:p>
      <w:r>
        <w:rPr>
          <w:b w:val="0"/>
          <w:sz w:val="18"/>
        </w:rPr>
        <w:t>替代／异常路径：1a 未来预约与被改期替代记录不混入主要分母。；2a 零分母显示N/A；未判定记录不假装为爽约。；3a 范围外查询被拒绝，不用费用或少量样本判断临床能力。</w:t>
      </w:r>
    </w:p>
    <w:p>
      <w:r>
        <w:rPr>
          <w:b w:val="0"/>
          <w:sz w:val="19"/>
        </w:rPr>
        <w:t>成功后置条件：只读结果可解释，数据不因查询改变。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追踪：BU-04；BR-12；AC-12：零分母显示N/A；未来和改期替代记录不混入主要比例。</w:t>
      </w:r>
    </w:p>
    <w:p>
      <w:r>
        <w:br w:type="page"/>
      </w:r>
    </w:p>
    <w:p>
      <w:pPr>
        <w:pStyle w:val="Heading1"/>
      </w:pPr>
      <w:r>
        <w:t>15  用例规约 SU-13 / SU-14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SU-13  登记或退出候补</w:t>
      </w:r>
    </w:p>
    <w:p>
      <w:r>
        <w:rPr>
          <w:b w:val="0"/>
          <w:sz w:val="19"/>
        </w:rPr>
        <w:t>主要参与者：本人患者或该店前台。  触发：无合适时段，或者不再需要等待。</w:t>
      </w:r>
    </w:p>
    <w:p>
      <w:r>
        <w:rPr>
          <w:b w:val="0"/>
          <w:sz w:val="19"/>
        </w:rPr>
        <w:t>前置条件：本人患者或有当前诊所前台授权；患者及诊所有效。提交时可接受窗口须位于未来14天且至少容纳30分钟。</w:t>
      </w:r>
    </w:p>
    <w:p>
      <w:r>
        <w:rPr>
          <w:b w:val="0"/>
          <w:sz w:val="19"/>
        </w:rPr>
        <w:t>1）选择诊所与可选牙医偏好，再选最早可开始时间；增强控件仅提供合法范围。</w:t>
      </w:r>
    </w:p>
    <w:p>
      <w:r>
        <w:rPr>
          <w:b w:val="0"/>
          <w:sz w:val="19"/>
        </w:rPr>
        <w:t>2）选定开始后选择最晚必须结束时间；选项至少晚30分钟。修改开始导致原结束失效时，清空结束并解释。</w:t>
      </w:r>
    </w:p>
    <w:p>
      <w:r>
        <w:rPr>
          <w:b w:val="0"/>
          <w:sz w:val="19"/>
        </w:rPr>
        <w:t>3）明确确认后提交，服务器重新按当前北京时间校验并登记等待安排；前台代办需核对患者编号。</w:t>
      </w:r>
    </w:p>
    <w:p>
      <w:r>
        <w:rPr>
          <w:b w:val="0"/>
          <w:sz w:val="19"/>
        </w:rPr>
        <w:t>4）退出是另一入口：用户核对该条需求后确认退出，撤回尚未接受的邀约并保留历史。</w:t>
      </w:r>
    </w:p>
    <w:p>
      <w:r>
        <w:rPr>
          <w:b w:val="0"/>
          <w:sz w:val="18"/>
        </w:rPr>
        <w:t>替代／异常路径：1a 同一患者已有有效候补：提示先处理，不重复占位。；2a 时间范围不合法、非本人或无当前店权限：拒绝。；3a 已经形成正式预约：退出候补不能代替取消预约。</w:t>
      </w:r>
    </w:p>
    <w:p>
      <w:r>
        <w:rPr>
          <w:b w:val="0"/>
          <w:sz w:val="19"/>
        </w:rPr>
        <w:t>成功后置条件：登记不是预约；退出不删除历史，也不取消其他正式预约。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追踪：BU-02；BR-13；AC-13：结束早于开始不能保存；登记仅为候补，退出保留历史。</w:t>
      </w:r>
    </w:p>
    <w:p>
      <w:r>
        <w:rPr>
          <w:b w:val="0"/>
          <w:sz w:val="4"/>
        </w:rPr>
      </w:r>
    </w:p>
    <w:p>
      <w:pPr>
        <w:pStyle w:val="Heading2"/>
      </w:pPr>
      <w:r>
        <w:t>SU-14  生成有限排程建议</w:t>
      </w:r>
    </w:p>
    <w:p>
      <w:r>
        <w:rPr>
          <w:b w:val="0"/>
          <w:sz w:val="19"/>
        </w:rPr>
        <w:t>主要参与者：当前诊所主管。  触发：主管请求生成候选安排。</w:t>
      </w:r>
    </w:p>
    <w:p>
      <w:r>
        <w:rPr>
          <w:b w:val="0"/>
          <w:sz w:val="19"/>
        </w:rPr>
        <w:t>前置条件：当前诊所主管身份有效，范围已选择；存在可查询的需求与出诊数据（允许查询结果为空）。</w:t>
      </w:r>
    </w:p>
    <w:p>
      <w:r>
        <w:rPr>
          <w:b w:val="0"/>
          <w:sz w:val="19"/>
        </w:rPr>
        <w:t>1）按登记顺序纳入最多60条需求、80个出诊块，枚举最多200个30分钟时间格。</w:t>
      </w:r>
    </w:p>
    <w:p>
      <w:r>
        <w:rPr>
          <w:b w:val="0"/>
          <w:sz w:val="19"/>
        </w:rPr>
        <w:t>2）过滤当前预约、有效保留、时间与牙医偏好冲突。</w:t>
      </w:r>
    </w:p>
    <w:p>
      <w:r>
        <w:rPr>
          <w:b w:val="0"/>
          <w:sz w:val="19"/>
        </w:rPr>
        <w:t>3）执行有限二部图最大匹配，返回建议、未安排项、生成时刻与范围。</w:t>
      </w:r>
    </w:p>
    <w:p>
      <w:r>
        <w:rPr>
          <w:b w:val="0"/>
          <w:sz w:val="18"/>
        </w:rPr>
        <w:t>替代／异常路径：1a 无候选：展示未安排及原因范围，不伪造可行解。；2a 达到上限：说明仅处理枚举范围，不称全域最优。；3a 此步骤不锁定时段；求解后可用性仍可能变化。</w:t>
      </w:r>
    </w:p>
    <w:p>
      <w:r>
        <w:rPr>
          <w:b w:val="0"/>
          <w:sz w:val="19"/>
        </w:rPr>
        <w:t>成功后置条件：仅保存草案；不修改已有预约，不声称椅位/资格/通勤优化。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追踪：BU-02；BR-14；AC-14：只对有限候选图报告最大安排数；未安排不解释为永久无解。</w:t>
      </w:r>
    </w:p>
    <w:p>
      <w:r>
        <w:br w:type="page"/>
      </w:r>
    </w:p>
    <w:p>
      <w:pPr>
        <w:pStyle w:val="Heading1"/>
      </w:pPr>
      <w:r>
        <w:t>15  用例规约 SU-15 / SU-16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SU-15  审核并发布限时邀约</w:t>
      </w:r>
    </w:p>
    <w:p>
      <w:r>
        <w:rPr>
          <w:b w:val="0"/>
          <w:sz w:val="19"/>
        </w:rPr>
        <w:t>主要参与者：当前诊所主管。  触发：主管核对建议后确认发布。</w:t>
      </w:r>
    </w:p>
    <w:p>
      <w:r>
        <w:rPr>
          <w:b w:val="0"/>
          <w:sz w:val="19"/>
        </w:rPr>
        <w:t>前置条件：草案属于本店，未发布且生成未超过15分钟。</w:t>
      </w:r>
    </w:p>
    <w:p>
      <w:r>
        <w:rPr>
          <w:b w:val="0"/>
          <w:sz w:val="19"/>
        </w:rPr>
        <w:t>1）读取草案及所依赖的需求、出诊时段和修订号。</w:t>
      </w:r>
    </w:p>
    <w:p>
      <w:r>
        <w:rPr>
          <w:b w:val="0"/>
          <w:sz w:val="19"/>
        </w:rPr>
        <w:t>2）重新核验权限、偏好、占用及各需求状态。</w:t>
      </w:r>
    </w:p>
    <w:p>
      <w:r>
        <w:rPr>
          <w:b w:val="0"/>
          <w:sz w:val="19"/>
        </w:rPr>
        <w:t>3）整批建立保留至15分钟或开始时间较早者的邀约。</w:t>
      </w:r>
    </w:p>
    <w:p>
      <w:r>
        <w:rPr>
          <w:b w:val="0"/>
          <w:sz w:val="18"/>
        </w:rPr>
        <w:t>替代／异常路径：1a 任一项已变化或发生冲突：整批不发布，提示重新生成。；2a 空草案/过旧草案：拒绝发布。；3a 重复成功提交返回既有结果，不增加同一请求的邀约。</w:t>
      </w:r>
    </w:p>
    <w:p>
      <w:r>
        <w:rPr>
          <w:b w:val="0"/>
          <w:sz w:val="19"/>
        </w:rPr>
        <w:t>成功后置条件：请求转等待确认；邀约暂占资源，但正式预约数不因发布增加。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追踪：BU-02；BR-13, BR-14；AC-15：发布后仅形成限时邀约；陈旧或冲突草案整批不发布。</w:t>
      </w:r>
    </w:p>
    <w:p>
      <w:r>
        <w:rPr>
          <w:b w:val="0"/>
          <w:sz w:val="4"/>
        </w:rPr>
      </w:r>
    </w:p>
    <w:p>
      <w:pPr>
        <w:pStyle w:val="Heading2"/>
      </w:pPr>
      <w:r>
        <w:t>SU-16  接受或拒绝候补邀约</w:t>
      </w:r>
    </w:p>
    <w:p>
      <w:r>
        <w:rPr>
          <w:b w:val="0"/>
          <w:sz w:val="19"/>
        </w:rPr>
        <w:t>主要参与者：本人患者或当前诊所前台。  触发：用户主动查看邀约并作出决定。</w:t>
      </w:r>
    </w:p>
    <w:p>
      <w:r>
        <w:rPr>
          <w:b w:val="0"/>
          <w:sz w:val="19"/>
        </w:rPr>
        <w:t>前置条件：邀约属于允许范围；尚未过期；请求待确认。</w:t>
      </w:r>
    </w:p>
    <w:p>
      <w:r>
        <w:rPr>
          <w:b w:val="0"/>
          <w:sz w:val="19"/>
        </w:rPr>
        <w:t>1）主动打开本人／本店获授权邀约，核对牙医、诊所、时间和确认截止。</w:t>
      </w:r>
    </w:p>
    <w:p>
      <w:r>
        <w:rPr>
          <w:b w:val="0"/>
          <w:sz w:val="19"/>
        </w:rPr>
        <w:t>2）患者明确接受或拒绝；前台代办必须先取得患者明确意思，主管不能代为接受。</w:t>
      </w:r>
    </w:p>
    <w:p>
      <w:r>
        <w:rPr>
          <w:b w:val="0"/>
          <w:sz w:val="19"/>
        </w:rPr>
        <w:t>3）接受：重验有效性与占用，成功则形成预约并结束临时保留；拒绝：释放保留并让需求回到等待。</w:t>
      </w:r>
    </w:p>
    <w:p>
      <w:r>
        <w:rPr>
          <w:b w:val="0"/>
          <w:sz w:val="19"/>
        </w:rPr>
        <w:t>4）显示具体处理结果；接受成功时提供正式预约编号与查阅入口。</w:t>
      </w:r>
    </w:p>
    <w:p>
      <w:r>
        <w:rPr>
          <w:b w:val="0"/>
          <w:sz w:val="18"/>
        </w:rPr>
        <w:t>替代／异常路径：1a 过期、被撤回或需求已变：不创建预约。；2a 主管不能代患者确认；其他患者不能按ID接受。；3a 重复成功接受返回同一预约；失败则原保留不被半途丢掉。</w:t>
      </w:r>
    </w:p>
    <w:p>
      <w:r>
        <w:rPr>
          <w:b w:val="0"/>
          <w:sz w:val="19"/>
        </w:rPr>
        <w:t>成功后置条件：接受恰形成一条正式预约；拒绝不形成预约、不删除需求。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追踪：BU-02；BR-13, BR-14；AC-16：接受后新预约真实存在；重复接受不增加第二条预约。</w:t>
      </w:r>
    </w:p>
    <w:p>
      <w:r>
        <w:br w:type="page"/>
      </w:r>
    </w:p>
    <w:p>
      <w:pPr>
        <w:pStyle w:val="Heading1"/>
      </w:pPr>
      <w:r>
        <w:t>15  用例规约 SU-17 / SU-18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SU-17  回收过期邀约</w:t>
      </w:r>
    </w:p>
    <w:p>
      <w:r>
        <w:rPr>
          <w:b w:val="0"/>
          <w:sz w:val="19"/>
        </w:rPr>
        <w:t>主要参与者：当前诊所主管或前台。  触发：在候补页明确执行回收。</w:t>
      </w:r>
    </w:p>
    <w:p>
      <w:r>
        <w:rPr>
          <w:b w:val="0"/>
          <w:sz w:val="19"/>
        </w:rPr>
        <w:t>前置条件：有本店到期仍待处理的邀约。</w:t>
      </w:r>
    </w:p>
    <w:p>
      <w:r>
        <w:rPr>
          <w:b w:val="0"/>
          <w:sz w:val="19"/>
        </w:rPr>
        <w:t>1）展示操作含义，用户勾选确认。</w:t>
      </w:r>
    </w:p>
    <w:p>
      <w:r>
        <w:rPr>
          <w:b w:val="0"/>
          <w:sz w:val="19"/>
        </w:rPr>
        <w:t>2）核对当前时间，逐项锁定并标为过期。</w:t>
      </w:r>
    </w:p>
    <w:p>
      <w:r>
        <w:rPr>
          <w:b w:val="0"/>
          <w:sz w:val="19"/>
        </w:rPr>
        <w:t>3）相应请求恢复等待，可参与下一次建议。</w:t>
      </w:r>
    </w:p>
    <w:p>
      <w:r>
        <w:rPr>
          <w:b w:val="0"/>
          <w:sz w:val="18"/>
        </w:rPr>
        <w:t>替代／异常路径：1a 仍有效、已接受或其他店邀约不受影响。；2a 单次最多200条；剩余可再次执行。；3a 本版没有后台自动回收；过期时间本身已使保留不再阻挡新预约。</w:t>
      </w:r>
    </w:p>
    <w:p>
      <w:r>
        <w:rPr>
          <w:b w:val="0"/>
          <w:sz w:val="19"/>
        </w:rPr>
        <w:t>成功后置条件：历史保留；回收不删除已经成立的预约。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追踪：BU-02；BR-13；AC-17：只处理到期未结束邀约；不得撤销已经接受的预约。</w:t>
      </w:r>
    </w:p>
    <w:p>
      <w:r>
        <w:rPr>
          <w:b w:val="0"/>
          <w:sz w:val="4"/>
        </w:rPr>
      </w:r>
    </w:p>
    <w:p>
      <w:pPr>
        <w:pStyle w:val="Heading2"/>
      </w:pPr>
      <w:r>
        <w:t>SU-18  获取定位页面与手动步骤的引导</w:t>
      </w:r>
    </w:p>
    <w:p>
      <w:r>
        <w:rPr>
          <w:b w:val="0"/>
          <w:sz w:val="19"/>
        </w:rPr>
        <w:t>主要参与者：患者、牙医、前台、主管、总部、财务。  触发：用户提问或从任务目录选择指南。</w:t>
      </w:r>
    </w:p>
    <w:p>
      <w:r>
        <w:rPr>
          <w:b w:val="0"/>
          <w:sz w:val="19"/>
        </w:rPr>
        <w:t>前置条件：已选有效工作身份；普通业务无需AI也可用。</w:t>
      </w:r>
    </w:p>
    <w:p>
      <w:r>
        <w:rPr>
          <w:b w:val="0"/>
          <w:sz w:val="19"/>
        </w:rPr>
        <w:t>1）用户提出办理目标或选择任务指南；不明确时先呈现当前身份可用任务。</w:t>
      </w:r>
    </w:p>
    <w:p>
      <w:r>
        <w:rPr>
          <w:b w:val="0"/>
          <w:sz w:val="19"/>
        </w:rPr>
        <w:t>2）已同意外发且接口启用时，外部模型仅分类意图；否则使用本地目录与规则。</w:t>
      </w:r>
    </w:p>
    <w:p>
      <w:r>
        <w:rPr>
          <w:b w:val="0"/>
          <w:sz w:val="19"/>
        </w:rPr>
        <w:t>3）系统提供当前身份适用的真实页面、按钮、条件和步骤；“记录治疗”与“完成结算”分开。</w:t>
      </w:r>
    </w:p>
    <w:p>
      <w:r>
        <w:rPr>
          <w:b w:val="0"/>
          <w:sz w:val="19"/>
        </w:rPr>
        <w:t>4）用户手动打开页面并办理。“下一步”只切换说明；是否成功以业务页面结果为准。</w:t>
      </w:r>
    </w:p>
    <w:p>
      <w:r>
        <w:rPr>
          <w:b w:val="0"/>
          <w:sz w:val="18"/>
        </w:rPr>
        <w:t>替代／异常路径：1a 换身份/诊所：旧引导失效；网络返回后再次检查上下文。；2a 模型失败明确降级；不伪造链接或办理成功。；3a 医学判断转人工；无权任务说明切换已有身份，不新增授权。</w:t>
      </w:r>
    </w:p>
    <w:p>
      <w:r>
        <w:rPr>
          <w:b w:val="0"/>
          <w:sz w:val="19"/>
        </w:rPr>
        <w:t>成功后置条件：提问与指南播放本身不改变预约、治疗或账单；真实模型效果及任务状态自动核验仍待独立测试。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追踪：横向：G3 / G5；BR-15；AC-18：回答指向现有授权页面；不因点击下一步而自动提交。</w:t>
      </w:r>
    </w:p>
    <w:p>
      <w:r>
        <w:br w:type="page"/>
      </w:r>
    </w:p>
    <w:p>
      <w:pPr>
        <w:pStyle w:val="Heading1"/>
      </w:pPr>
      <w:r>
        <w:t>15  用例规约 SU-19 / SU-20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SU-19  新增牙医出诊时段</w:t>
      </w:r>
    </w:p>
    <w:p>
      <w:r>
        <w:rPr>
          <w:b w:val="0"/>
          <w:sz w:val="19"/>
        </w:rPr>
        <w:t>主要参与者：当前诊所主管。  触发：新增供预约/排程使用的可用时间。</w:t>
      </w:r>
    </w:p>
    <w:p>
      <w:r>
        <w:rPr>
          <w:b w:val="0"/>
          <w:sz w:val="19"/>
        </w:rPr>
        <w:t>前置条件：牙医及本店有效；时段在未来。</w:t>
      </w:r>
    </w:p>
    <w:p>
      <w:r>
        <w:rPr>
          <w:b w:val="0"/>
          <w:sz w:val="19"/>
        </w:rPr>
        <w:t>1）核对当前店，选择有效牙医和起止时间。</w:t>
      </w:r>
    </w:p>
    <w:p>
      <w:r>
        <w:rPr>
          <w:b w:val="0"/>
          <w:sz w:val="19"/>
        </w:rPr>
        <w:t>2）系统检查时间与牙医跨店时段重叠。</w:t>
      </w:r>
    </w:p>
    <w:p>
      <w:r>
        <w:rPr>
          <w:b w:val="0"/>
          <w:sz w:val="19"/>
        </w:rPr>
        <w:t>3）明确提交后保存安排并记录事件。</w:t>
      </w:r>
    </w:p>
    <w:p>
      <w:r>
        <w:rPr>
          <w:b w:val="0"/>
          <w:sz w:val="18"/>
        </w:rPr>
        <w:t>替代／异常路径：1a 无当前店权限、牙医停用、开始晚于结束或冲突：拒绝。；2a 既有时段修改与停用的完整流程尚未开放，不能任意覆盖。；3a 新增时段不意味着医学资格适配或椅位资源已保证。</w:t>
      </w:r>
    </w:p>
    <w:p>
      <w:r>
        <w:rPr>
          <w:b w:val="0"/>
          <w:sz w:val="19"/>
        </w:rPr>
        <w:t>成功后置条件：形成可查询的出诊安排；患者仍须另行确认预约。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追踪：BU-01 / BU-02；BR-04；AC-19：跨店重叠出诊被拒绝；新增出诊不自动创建患者预约。</w:t>
      </w:r>
    </w:p>
    <w:p>
      <w:r>
        <w:rPr>
          <w:b w:val="0"/>
          <w:sz w:val="4"/>
        </w:rPr>
      </w:r>
    </w:p>
    <w:p>
      <w:pPr>
        <w:pStyle w:val="Heading2"/>
      </w:pPr>
      <w:r>
        <w:t>SU-20  选择显示方式与非聊天帮助</w:t>
      </w:r>
    </w:p>
    <w:p>
      <w:r>
        <w:rPr>
          <w:b w:val="0"/>
          <w:sz w:val="19"/>
        </w:rPr>
        <w:t>主要参与者：所有系统用户。  触发：用户调整字号、使用键盘或进入帮助目录。</w:t>
      </w:r>
    </w:p>
    <w:p>
      <w:r>
        <w:rPr>
          <w:b w:val="0"/>
          <w:sz w:val="19"/>
        </w:rPr>
        <w:t>前置条件：已打开支持的页面；业务入口依然存在。</w:t>
      </w:r>
    </w:p>
    <w:p>
      <w:r>
        <w:rPr>
          <w:b w:val="0"/>
          <w:sz w:val="19"/>
        </w:rPr>
        <w:t>1）自主切换标准/大字简明模式，不按年龄自动分流。</w:t>
      </w:r>
    </w:p>
    <w:p>
      <w:r>
        <w:rPr>
          <w:b w:val="0"/>
          <w:sz w:val="19"/>
        </w:rPr>
        <w:t>2）通过键盘、列表及按钮完成主要任务；步骤可返回或退出。</w:t>
      </w:r>
    </w:p>
    <w:p>
      <w:r>
        <w:rPr>
          <w:b w:val="0"/>
          <w:sz w:val="19"/>
        </w:rPr>
        <w:t>3）需要朗读时主动点击；仅在设备有本地中文声音时启用。</w:t>
      </w:r>
    </w:p>
    <w:p>
      <w:r>
        <w:rPr>
          <w:b w:val="0"/>
          <w:sz w:val="18"/>
        </w:rPr>
        <w:t>替代／异常路径：1a 无可用语音：保留文本，不自动上传云端语音。；2a JavaScript或AI不可用：服务端普通表单仍可使用。；3a 切换身份前提示未提交内容；不声称已自动保存草稿。</w:t>
      </w:r>
    </w:p>
    <w:p>
      <w:r>
        <w:rPr>
          <w:b w:val="0"/>
          <w:sz w:val="19"/>
        </w:rPr>
        <w:t>成功后置条件：用户明确当前模式与进度；无自动录音、病情上传或业务提交。</w:t>
      </w:r>
    </w:p>
    <w:p>
      <w:r>
        <w:rPr>
          <w:b w:val="0"/>
          <w:sz w:val="18"/>
        </w:rPr>
        <w:t>失败最小保证：拒绝或执行失败时不产生本次不完整业务；不增加账号授权。</w:t>
      </w:r>
    </w:p>
    <w:p>
      <w:r>
        <w:rPr>
          <w:b w:val="0"/>
          <w:color w:val="536975"/>
          <w:sz w:val="18"/>
        </w:rPr>
        <w:t>追踪：横向：G3；BR-15；AC-20：大字/键盘与普通路径可用；无本地语音时保留文本。</w:t>
      </w:r>
    </w:p>
    <w:p>
      <w:r>
        <w:br w:type="page"/>
      </w:r>
    </w:p>
    <w:p>
      <w:pPr>
        <w:pStyle w:val="Heading1"/>
      </w:pPr>
      <w:r>
        <w:t>15  用例规约 SU-21 / SU-22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SU-21  创建普通演示账号</w:t>
      </w:r>
    </w:p>
    <w:p>
      <w:r>
        <w:rPr>
          <w:b w:val="0"/>
          <w:sz w:val="19"/>
        </w:rPr>
        <w:t>主要参与者：技术管理。  触发：需要发放一个演示账号。</w:t>
      </w:r>
    </w:p>
    <w:p>
      <w:r>
        <w:rPr>
          <w:b w:val="0"/>
          <w:sz w:val="19"/>
        </w:rPr>
        <w:t>前置条件：当前技术身份与工作上下文有效；不通过该页面创建技术管理员。</w:t>
      </w:r>
    </w:p>
    <w:p>
      <w:r>
        <w:rPr>
          <w:b w:val="0"/>
          <w:sz w:val="19"/>
        </w:rPr>
        <w:t>1）输入唯一用户名、两次新密码；可关联尚未绑定账号的有效牙医。</w:t>
      </w:r>
    </w:p>
    <w:p>
      <w:r>
        <w:rPr>
          <w:b w:val="0"/>
          <w:sz w:val="19"/>
        </w:rPr>
        <w:t>2）再次验证技术管理密码，填写依据并明确确认。</w:t>
      </w:r>
    </w:p>
    <w:p>
      <w:r>
        <w:rPr>
          <w:b w:val="0"/>
          <w:sz w:val="19"/>
        </w:rPr>
        <w:t>3）系统校验并创建普通账号，显示“尚未授予业务身份”，再进入目标账号详情。</w:t>
      </w:r>
    </w:p>
    <w:p>
      <w:r>
        <w:rPr>
          <w:b w:val="0"/>
          <w:sz w:val="18"/>
        </w:rPr>
        <w:t>替代／异常路径：1a 用户名或牙医绑定已存在：拒绝覆盖。；2a 密码不合规、操作者密码错误或旧上下文：不创建。</w:t>
      </w:r>
    </w:p>
    <w:p>
      <w:r>
        <w:rPr>
          <w:b w:val="0"/>
          <w:sz w:val="19"/>
        </w:rPr>
        <w:t>成功后置条件：新增账号不自动获得业务角色、超级权限或患者身份。</w:t>
      </w:r>
    </w:p>
    <w:p>
      <w:r>
        <w:rPr>
          <w:b w:val="0"/>
          <w:sz w:val="18"/>
        </w:rPr>
        <w:t>失败最小保证：本次变更失败则原账号、授权或目录状态保持；不留下半条成功审计。</w:t>
      </w:r>
    </w:p>
    <w:p>
      <w:r>
        <w:rPr>
          <w:b w:val="0"/>
          <w:color w:val="536975"/>
          <w:sz w:val="18"/>
        </w:rPr>
        <w:t>追踪：横向：G2/G3；BR-01, BR-16；AC-21：账号创建后无业务身份；只对显式授予范围开放。</w:t>
      </w:r>
    </w:p>
    <w:p>
      <w:r>
        <w:rPr>
          <w:b w:val="0"/>
          <w:sz w:val="4"/>
        </w:rPr>
      </w:r>
    </w:p>
    <w:p>
      <w:pPr>
        <w:pStyle w:val="Heading2"/>
      </w:pPr>
      <w:r>
        <w:t>SU-22  管理角色与患者身份绑定</w:t>
      </w:r>
    </w:p>
    <w:p>
      <w:r>
        <w:rPr>
          <w:b w:val="0"/>
          <w:sz w:val="19"/>
        </w:rPr>
        <w:t>主要参与者：技术管理。  触发：需要授予/撤回身份或建立演示患者绑定。</w:t>
      </w:r>
    </w:p>
    <w:p>
      <w:r>
        <w:rPr>
          <w:b w:val="0"/>
          <w:sz w:val="19"/>
        </w:rPr>
        <w:t>前置条件：目标为允许维护的其他普通账号；状态签名有效。</w:t>
      </w:r>
    </w:p>
    <w:p>
      <w:r>
        <w:rPr>
          <w:b w:val="0"/>
          <w:sz w:val="19"/>
        </w:rPr>
        <w:t>1）查目标账号，选择授予、撤回业务身份或绑定演示患者之一。</w:t>
      </w:r>
    </w:p>
    <w:p>
      <w:r>
        <w:rPr>
          <w:b w:val="0"/>
          <w:sz w:val="19"/>
        </w:rPr>
        <w:t>2）主管/前台身份必须指定诊所；牙医身份需有效关联；患者绑定须双方均未已有绑定。</w:t>
      </w:r>
    </w:p>
    <w:p>
      <w:r>
        <w:rPr>
          <w:b w:val="0"/>
          <w:sz w:val="19"/>
        </w:rPr>
        <w:t>3）验证操作者密码、依据和确认，保存变更与审计，并使目标旧工作上下文失效。</w:t>
      </w:r>
    </w:p>
    <w:p>
      <w:r>
        <w:rPr>
          <w:b w:val="0"/>
          <w:sz w:val="18"/>
        </w:rPr>
        <w:t>替代／异常路径：1a 修改自身、技术/超级账号或发放技术角色：拒绝。；2a 不能借其他角色的诊所；不能替换既有患者身份。；3a 撤回牙医身份仍有未闭合业务：提示先完成或交接。</w:t>
      </w:r>
    </w:p>
    <w:p>
      <w:r>
        <w:rPr>
          <w:b w:val="0"/>
          <w:sz w:val="19"/>
        </w:rPr>
        <w:t>成功后置条件：授权来自明确管理操作；仅知道患者编号不能自行认领账号。</w:t>
      </w:r>
    </w:p>
    <w:p>
      <w:r>
        <w:rPr>
          <w:b w:val="0"/>
          <w:sz w:val="18"/>
        </w:rPr>
        <w:t>失败最小保证：本次变更失败则原账号、授权或目录状态保持；不留下半条成功审计。</w:t>
      </w:r>
    </w:p>
    <w:p>
      <w:r>
        <w:rPr>
          <w:b w:val="0"/>
          <w:color w:val="536975"/>
          <w:sz w:val="18"/>
        </w:rPr>
        <w:t>追踪：横向：G2/G3；BR-01, BR-02, BR-16；AC-22：撤权后旧页面不能继续使用；目标已有绑定不可覆盖。</w:t>
      </w:r>
    </w:p>
    <w:p>
      <w:r>
        <w:br w:type="page"/>
      </w:r>
    </w:p>
    <w:p>
      <w:pPr>
        <w:pStyle w:val="Heading1"/>
      </w:pPr>
      <w:r>
        <w:t>15  用例规约 SU-23 / SU-24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SU-23  管理账号状态与重置密码</w:t>
      </w:r>
    </w:p>
    <w:p>
      <w:r>
        <w:rPr>
          <w:b w:val="0"/>
          <w:sz w:val="19"/>
        </w:rPr>
        <w:t>主要参与者：技术管理。  触发：账号需停用、恢复使用或重置遗失密码。</w:t>
      </w:r>
    </w:p>
    <w:p>
      <w:r>
        <w:rPr>
          <w:b w:val="0"/>
          <w:sz w:val="19"/>
        </w:rPr>
        <w:t>前置条件：已选允许维护的目标账号；不得处理自己或受保护技术账号。</w:t>
      </w:r>
    </w:p>
    <w:p>
      <w:r>
        <w:rPr>
          <w:b w:val="0"/>
          <w:sz w:val="19"/>
        </w:rPr>
        <w:t>1）查看目标状态，选择启用、停用、停用患者入口或密码重置。</w:t>
      </w:r>
    </w:p>
    <w:p>
      <w:r>
        <w:rPr>
          <w:b w:val="0"/>
          <w:sz w:val="19"/>
        </w:rPr>
        <w:t>2）填写必要值、依据与确认，再次验证技术管理密码。</w:t>
      </w:r>
    </w:p>
    <w:p>
      <w:r>
        <w:rPr>
          <w:b w:val="0"/>
          <w:sz w:val="19"/>
        </w:rPr>
        <w:t>3）系统检查未闭合预约、候补或更正等影响，合法时保存并使旧上下文失效。</w:t>
      </w:r>
    </w:p>
    <w:p>
      <w:r>
        <w:rPr>
          <w:b w:val="0"/>
          <w:sz w:val="18"/>
        </w:rPr>
        <w:t>替代／异常路径：1a 目标状态在其他页面已变：拒绝陈旧提交。；3a 停用相关目标仍有待办：拒绝并说明；不删除业务历史。</w:t>
      </w:r>
    </w:p>
    <w:p>
      <w:r>
        <w:rPr>
          <w:b w:val="0"/>
          <w:sz w:val="19"/>
        </w:rPr>
        <w:t>成功后置条件：账号停用不等于牙医档案或资源停用；密码不在结果页明文输出。</w:t>
      </w:r>
    </w:p>
    <w:p>
      <w:r>
        <w:rPr>
          <w:b w:val="0"/>
          <w:sz w:val="18"/>
        </w:rPr>
        <w:t>失败最小保证：本次变更失败则原账号、授权或目录状态保持；不留下半条成功审计。</w:t>
      </w:r>
    </w:p>
    <w:p>
      <w:r>
        <w:rPr>
          <w:b w:val="0"/>
          <w:color w:val="536975"/>
          <w:sz w:val="18"/>
        </w:rPr>
        <w:t>追踪：横向：G2；BR-16；AC-23：有相关未闭合业务时停用被阻止；密码重置不改变角色与历史金额。</w:t>
      </w:r>
    </w:p>
    <w:p>
      <w:r>
        <w:rPr>
          <w:b w:val="0"/>
          <w:sz w:val="4"/>
        </w:rPr>
      </w:r>
    </w:p>
    <w:p>
      <w:pPr>
        <w:pStyle w:val="Heading2"/>
      </w:pPr>
      <w:r>
        <w:t>SU-24  修改本人密码</w:t>
      </w:r>
    </w:p>
    <w:p>
      <w:r>
        <w:rPr>
          <w:b w:val="0"/>
          <w:sz w:val="19"/>
        </w:rPr>
        <w:t>主要参与者：所有已登录用户。  触发：点击“修改我的密码”。</w:t>
      </w:r>
    </w:p>
    <w:p>
      <w:r>
        <w:rPr>
          <w:b w:val="0"/>
          <w:sz w:val="19"/>
        </w:rPr>
        <w:t>前置条件：已登录且可提交当前工作上下文；知道原密码。</w:t>
      </w:r>
    </w:p>
    <w:p>
      <w:r>
        <w:rPr>
          <w:b w:val="0"/>
          <w:sz w:val="19"/>
        </w:rPr>
        <w:t>1）输入原密码与两次新密码。</w:t>
      </w:r>
    </w:p>
    <w:p>
      <w:r>
        <w:rPr>
          <w:b w:val="0"/>
          <w:sz w:val="19"/>
        </w:rPr>
        <w:t>2）系统核对原密码、密码规则及一致性。</w:t>
      </w:r>
    </w:p>
    <w:p>
      <w:r>
        <w:rPr>
          <w:b w:val="0"/>
          <w:sz w:val="19"/>
        </w:rPr>
        <w:t>3）保存成功后结束登录，提示使用新密码重新登录；旧工作上下文失效。</w:t>
      </w:r>
    </w:p>
    <w:p>
      <w:r>
        <w:rPr>
          <w:b w:val="0"/>
          <w:sz w:val="18"/>
        </w:rPr>
        <w:t>替代／异常路径：1a 原密码错误或两次新密码不一致：保留原密码并说明。；3a 保存/审计失败：回滚，不提示成功。</w:t>
      </w:r>
    </w:p>
    <w:p>
      <w:r>
        <w:rPr>
          <w:b w:val="0"/>
          <w:sz w:val="19"/>
        </w:rPr>
        <w:t>成功后置条件：不修改业务角色、患者绑定或历史数据。</w:t>
      </w:r>
    </w:p>
    <w:p>
      <w:r>
        <w:rPr>
          <w:b w:val="0"/>
          <w:sz w:val="18"/>
        </w:rPr>
        <w:t>失败最小保证：本次变更失败则原账号、授权或目录状态保持；不留下半条成功审计。</w:t>
      </w:r>
    </w:p>
    <w:p>
      <w:r>
        <w:rPr>
          <w:b w:val="0"/>
          <w:color w:val="536975"/>
          <w:sz w:val="18"/>
        </w:rPr>
        <w:t>追踪：横向：G2/G3；BR-16；AC-24：新密码成功后旧密码不可用；输入值不在日志或页面回显。</w:t>
      </w:r>
    </w:p>
    <w:p>
      <w:r>
        <w:br w:type="page"/>
      </w:r>
    </w:p>
    <w:p>
      <w:pPr>
        <w:pStyle w:val="Heading1"/>
      </w:pPr>
      <w:r>
        <w:t>15  用例规约 SU-25</w:t>
      </w:r>
    </w:p>
    <w:p>
      <w:r>
        <w:rPr>
          <w:b w:val="0"/>
          <w:color w:val="536975"/>
          <w:sz w:val="18"/>
        </w:rPr>
        <w:t>系统外部可观察行为；R1.0目标规约，代码与验证状态见第16—17节</w:t>
      </w:r>
    </w:p>
    <w:p>
      <w:pPr>
        <w:pStyle w:val="Heading2"/>
      </w:pPr>
      <w:r>
        <w:t>SU-25  维护与查阅标准治疗价格目录</w:t>
      </w:r>
    </w:p>
    <w:p>
      <w:r>
        <w:rPr>
          <w:b w:val="0"/>
          <w:sz w:val="19"/>
        </w:rPr>
        <w:t>主要参与者：财务维护；总部只读。  触发：需要新增计价项目、核对当前价或调整当前单价。</w:t>
      </w:r>
    </w:p>
    <w:p>
      <w:r>
        <w:rPr>
          <w:b w:val="0"/>
          <w:sz w:val="19"/>
        </w:rPr>
        <w:t>前置条件：当前财务/总部身份有效；写操作仅财务，已确认商业目录依据。</w:t>
      </w:r>
    </w:p>
    <w:p>
      <w:r>
        <w:rPr>
          <w:b w:val="0"/>
          <w:sz w:val="19"/>
        </w:rPr>
        <w:t>1）查阅项目编码、名称、标准单位和当前单价。</w:t>
      </w:r>
    </w:p>
    <w:p>
      <w:r>
        <w:rPr>
          <w:b w:val="0"/>
          <w:sz w:val="19"/>
        </w:rPr>
        <w:t>2）财务新增项目时填写完整定义；对已有项目仅可修改当前标准单价，名称、单位和编码不在调价表单内更改。</w:t>
      </w:r>
    </w:p>
    <w:p>
      <w:r>
        <w:rPr>
          <w:b w:val="0"/>
          <w:sz w:val="19"/>
        </w:rPr>
        <w:t>3）填写依据并确认；系统重验目标与授权后保存目录和审计，已有治疗行与账单不变。</w:t>
      </w:r>
    </w:p>
    <w:p>
      <w:r>
        <w:rPr>
          <w:b w:val="0"/>
          <w:sz w:val="18"/>
        </w:rPr>
        <w:t>替代／异常路径：2a 重复编码、非法金额、已停用项目或新旧价格相同：不保存。；3a 目标或授权已变、旧页面提交或审计失败：不更新。</w:t>
      </w:r>
    </w:p>
    <w:p>
      <w:r>
        <w:rPr>
          <w:b w:val="0"/>
          <w:sz w:val="19"/>
        </w:rPr>
        <w:t>成功后置条件：仅改变未来使用的当前目录；不是医学资格审批、回溯调价或账单更正。</w:t>
      </w:r>
    </w:p>
    <w:p>
      <w:r>
        <w:rPr>
          <w:b w:val="0"/>
          <w:sz w:val="18"/>
        </w:rPr>
        <w:t>失败最小保证：本次变更失败则原账号、授权或目录状态保持；不留下半条成功审计。</w:t>
      </w:r>
    </w:p>
    <w:p>
      <w:r>
        <w:rPr>
          <w:b w:val="0"/>
          <w:color w:val="536975"/>
          <w:sz w:val="18"/>
        </w:rPr>
        <w:t>追踪：BU-03 / 横向：G2；BR-08, BR-17；AC-25：目录调价后已发布账单金额和治疗价格快照保持原值。</w:t>
      </w:r>
    </w:p>
    <w:p>
      <w:r>
        <w:br w:type="page"/>
      </w:r>
    </w:p>
    <w:p>
      <w:pPr>
        <w:pStyle w:val="Heading1"/>
      </w:pPr>
      <w:r>
        <w:t>16  需求—模型—实现—验收追踪（一）</w:t>
      </w:r>
    </w:p>
    <w:p>
      <w:r>
        <w:rPr>
          <w:b w:val="0"/>
          <w:color w:val="536975"/>
          <w:sz w:val="18"/>
        </w:rPr>
        <w:t>图中的每个系统用例有规约；规约各有验收入口，不能以标题数量代替覆盖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2835"/>
        <w:gridCol w:w="1134"/>
      </w:tblGrid>
      <w:tr>
        <w:trPr>
          <w:cantSplit/>
          <w:tblHeader/>
        </w:trPr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系统用例</w:t>
            </w:r>
          </w:p>
        </w:tc>
        <w:tc>
          <w:tcPr>
            <w:tcW w:type="dxa" w:w="170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业务／模型</w:t>
            </w:r>
          </w:p>
        </w:tc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实现定位（非验收证据）</w:t>
            </w:r>
          </w:p>
        </w:tc>
        <w:tc>
          <w:tcPr>
            <w:tcW w:type="dxa" w:w="283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验收条件</w:t>
            </w:r>
          </w:p>
        </w:tc>
        <w:tc>
          <w:tcPr>
            <w:tcW w:type="dxa" w:w="113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SU-01</w:t>
              <w:br/>
              <w:t>登录、选择与切换身份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横向：G3</w:t>
              <w:br/>
              <w:t>横向／异常 / S03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workspaces/views.py、context.py、middleware.py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AC-01</w:t>
              <w:br/>
              <w:t>单身份进入相应工作台、多身份出现选择页；无身份不取得业务权限。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v0.8交互修订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SU-02</w:t>
              <w:br/>
              <w:t>选择与切换诊所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横向：G3</w:t>
              <w:br/>
              <w:t>横向／异常 / S03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workspaces/views.py、accounts/policies.py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AC-02</w:t>
              <w:br/>
              <w:t>主管换店只改变该角色范围；提交旧表单被拒绝。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SU-03</w:t>
              <w:br/>
              <w:t>建立与查阅患者档案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</w:t>
              <w:br/>
              <w:t>B02→B03 / S01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patients/services.py、selectors.py</w:t>
              <w:br/>
              <w:t>adc_core/views.py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AC-03</w:t>
              <w:br/>
              <w:t>相同电话不自动合并；未知过敏不显示为无过敏。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SU-04</w:t>
              <w:br/>
              <w:t>创建预约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</w:t>
              <w:br/>
              <w:t>B02→B03 / S01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scheduling/services.py</w:t>
              <w:br/>
              <w:t>portal/services.py</w:t>
              <w:br/>
              <w:t>coordination/reservations.py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AC-04</w:t>
              <w:br/>
              <w:t>同患者或牙医的冲突预约不能同时成功；保存后可按编号查询。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SU-05</w:t>
              <w:br/>
              <w:t>调整预约结果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横向／异常 / S01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scheduling/services.py</w:t>
              <w:br/>
              <w:t>portal/services.py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AC-05</w:t>
              <w:br/>
              <w:t>新时段失败时原预约仍有效；取消／爽约不产生治疗账单。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SU-06</w:t>
              <w:br/>
              <w:t>登记实际到诊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</w:t>
              <w:br/>
              <w:t>B02→B03 / S01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scheduling/services.py：change_appointment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AC-06</w:t>
              <w:br/>
              <w:t>成功后到诊为真并记录实际时间；不产生完成治疗假象。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SU-07</w:t>
              <w:br/>
              <w:t>复核信息与记录实际治疗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 / BU-03</w:t>
              <w:br/>
              <w:t>B02→B03 / S01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care/services.py、views.py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AC-07</w:t>
              <w:br/>
              <w:t>预约意向不自动变成实际收费行；草稿撤回与已发布更正分开。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SU-08</w:t>
              <w:br/>
              <w:t>完成就诊并生成结算单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 / BU-03</w:t>
              <w:br/>
              <w:t>B02→B03 / S01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care/services.py：complete_visit</w:t>
              <w:br/>
              <w:t>care数据库保护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AC-08</w:t>
              <w:br/>
              <w:t>一次闭合就诊恰一单；无治疗分支为零行零金额且原因必填。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SU-09</w:t>
              <w:br/>
              <w:t>查阅与打印结算单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BU-03</w:t>
              <w:br/>
              <w:t>B02→B03 / S01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care/views.py、ledger.py</w:t>
              <w:br/>
              <w:t>portal页面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AC-09</w:t>
              <w:br/>
              <w:t>调目录价不改变旧单；其他患者不能读取该单。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</w:tbl>
    <w:p>
      <w:pPr>
        <w:pStyle w:val="Heading2"/>
      </w:pPr>
      <w:r>
        <w:t>模型一致性检查规则</w:t>
      </w:r>
    </w:p>
    <w:p>
      <w:r>
        <w:rPr>
          <w:b w:val="0"/>
        </w:rPr>
        <w:t>①同一业务成果前后保持可比较；②参与者职责与页面权限一致；③每个系统用例均有规约和验收；④规约异常不与共同规则冲突；⑤源代码位置只证明实现位置，不证明测试通过。</w:t>
      </w:r>
    </w:p>
    <w:p>
      <w:r>
        <w:br w:type="page"/>
      </w:r>
    </w:p>
    <w:p>
      <w:pPr>
        <w:pStyle w:val="Heading1"/>
      </w:pPr>
      <w:r>
        <w:t>16  需求—模型—实现—验收追踪（二）</w:t>
      </w:r>
    </w:p>
    <w:p>
      <w:r>
        <w:rPr>
          <w:b w:val="0"/>
          <w:color w:val="536975"/>
          <w:sz w:val="18"/>
        </w:rPr>
        <w:t>图中的每个系统用例有规约；规约各有验收入口，不能以标题数量代替覆盖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2835"/>
        <w:gridCol w:w="1134"/>
      </w:tblGrid>
      <w:tr>
        <w:trPr>
          <w:cantSplit/>
          <w:tblHeader/>
        </w:trPr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系统用例</w:t>
            </w:r>
          </w:p>
        </w:tc>
        <w:tc>
          <w:tcPr>
            <w:tcW w:type="dxa" w:w="170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业务／模型</w:t>
            </w:r>
          </w:p>
        </w:tc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实现定位（非验收证据）</w:t>
            </w:r>
          </w:p>
        </w:tc>
        <w:tc>
          <w:tcPr>
            <w:tcW w:type="dxa" w:w="283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验收条件</w:t>
            </w:r>
          </w:p>
        </w:tc>
        <w:tc>
          <w:tcPr>
            <w:tcW w:type="dxa" w:w="113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SU-10</w:t>
              <w:br/>
              <w:t>申请与审核账单数字更正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BU-03 / BU-04</w:t>
              <w:br/>
              <w:t>横向／异常 / S02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care/corrections.py、correction_views.py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AC-10</w:t>
              <w:br/>
              <w:t>自批被拒绝；批准后旧版可查、统计只计新版。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SU-11</w:t>
              <w:br/>
              <w:t>形成季度成本与利润核对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BU-04</w:t>
              <w:br/>
              <w:t>B04→B05 / S02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finance/services.py、selectors.py、policies.py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AC-11</w:t>
              <w:br/>
              <w:t>任何缺失/未确认成本阻止完整利润；确认零值不视为缺失。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SU-12</w:t>
              <w:br/>
              <w:t>查询运营指标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BU-04</w:t>
              <w:br/>
              <w:t>B04→B05 / S02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operations/selectors.py、policies.py、views.py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AC-12</w:t>
              <w:br/>
              <w:t>零分母显示N/A；未来和改期替代记录不混入主要比例。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SU-13</w:t>
              <w:br/>
              <w:t>登记或退出候补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B06 / S02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coordination/services.py、policies.py、forms.py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AC-13</w:t>
              <w:br/>
              <w:t>结束早于开始不能保存；登记仅为候补，退出保留历史。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v0.8交互修订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SU-14</w:t>
              <w:br/>
              <w:t>生成有限排程建议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B06 / S02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coordination/solver.py</w:t>
              <w:br/>
              <w:t>services.py：create_plan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AC-14</w:t>
              <w:br/>
              <w:t>只对有限候选图报告最大安排数；未安排不解释为永久无解。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SU-15</w:t>
              <w:br/>
              <w:t>审核并发布限时邀约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B06 / S02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coordination/services.py：publish_plan</w:t>
              <w:br/>
              <w:t>reservations.py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AC-15</w:t>
              <w:br/>
              <w:t>发布后仅形成限时邀约；陈旧或冲突草案整批不发布。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SU-16</w:t>
              <w:br/>
              <w:t>接受或拒绝候补邀约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B06 / S02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coordination/services.py：answer_offer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AC-16</w:t>
              <w:br/>
              <w:t>接受后新预约真实存在；重复接受不增加第二条预约。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SU-17</w:t>
              <w:br/>
              <w:t>回收过期邀约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BU-02</w:t>
              <w:br/>
              <w:t>B06 / S02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coordination/services.py：expire_clinic_offers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AC-17</w:t>
              <w:br/>
              <w:t>只处理到期未结束邀约；不得撤销已经接受的预约。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</w:tbl>
    <w:p>
      <w:pPr>
        <w:pStyle w:val="Heading2"/>
      </w:pPr>
      <w:r>
        <w:t>规则与证据分开</w:t>
      </w:r>
    </w:p>
    <w:p>
      <w:r>
        <w:rPr>
          <w:b w:val="0"/>
        </w:rPr>
        <w:t>正常路径、过期拒绝、重复提交和角色边界是不同场景；用户观察与自动化记录分别归档。每项验收条件都是待核对命题，不因已写代码而自动标记通过。</w:t>
      </w:r>
    </w:p>
    <w:p>
      <w:r>
        <w:br w:type="page"/>
      </w:r>
    </w:p>
    <w:p>
      <w:pPr>
        <w:pStyle w:val="Heading1"/>
      </w:pPr>
      <w:r>
        <w:t>16  需求—模型—实现—验收追踪（三）</w:t>
      </w:r>
    </w:p>
    <w:p>
      <w:r>
        <w:rPr>
          <w:b w:val="0"/>
          <w:color w:val="536975"/>
          <w:sz w:val="18"/>
        </w:rPr>
        <w:t>图中的每个系统用例有规约；规约各有验收入口，不能以标题数量代替覆盖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701"/>
        <w:gridCol w:w="1984"/>
        <w:gridCol w:w="2835"/>
        <w:gridCol w:w="1134"/>
      </w:tblGrid>
      <w:tr>
        <w:trPr>
          <w:cantSplit/>
          <w:tblHeader/>
        </w:trPr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系统用例</w:t>
            </w:r>
          </w:p>
        </w:tc>
        <w:tc>
          <w:tcPr>
            <w:tcW w:type="dxa" w:w="170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业务／模型</w:t>
            </w:r>
          </w:p>
        </w:tc>
        <w:tc>
          <w:tcPr>
            <w:tcW w:type="dxa" w:w="198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实现定位（非验收证据）</w:t>
            </w:r>
          </w:p>
        </w:tc>
        <w:tc>
          <w:tcPr>
            <w:tcW w:type="dxa" w:w="283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验收条件</w:t>
            </w:r>
          </w:p>
        </w:tc>
        <w:tc>
          <w:tcPr>
            <w:tcW w:type="dxa" w:w="1134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范围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SU-18</w:t>
              <w:br/>
              <w:t>获取定位页面与手动步骤的引导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横向：G3 / G5</w:t>
              <w:br/>
              <w:t>横向／异常 / S03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assistants/services.py</w:t>
              <w:br/>
              <w:t>guidance/catalog.py、context.py</w:t>
              <w:br/>
              <w:t>static/guidance.js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AC-18</w:t>
              <w:br/>
              <w:t>回答指向现有授权页面；不因点击下一步而自动提交。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v0.8交互修订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SU-19</w:t>
              <w:br/>
              <w:t>新增牙医出诊时段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BU-01 / BU-02</w:t>
              <w:br/>
              <w:t>B02→B03 / S02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scheduling/services.py：create_slot</w:t>
              <w:br/>
              <w:t>adc_core/views.py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AC-19</w:t>
              <w:br/>
              <w:t>跨店重叠出诊被拒绝；新增出诊不自动创建患者预约。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SU-20</w:t>
              <w:br/>
              <w:t>选择显示方式与非聊天帮助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横向：G3</w:t>
              <w:br/>
              <w:t>横向／异常 / S03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static/experience.js、experience.css</w:t>
              <w:br/>
              <w:t>guidance页面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AC-20</w:t>
              <w:br/>
              <w:t>大字/键盘与普通路径可用；无本地语音时保留文本。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v0.7已有代码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SU-21</w:t>
              <w:br/>
              <w:t>创建普通演示账号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横向：G2/G3</w:t>
              <w:br/>
              <w:t>横向／异常 / S03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accounts/governance.py:create_account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AC-21</w:t>
              <w:br/>
              <w:t>账号创建后无业务身份；只对显式授予范围开放。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v0.8候选新增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SU-22</w:t>
              <w:br/>
              <w:t>管理角色与患者身份绑定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横向：G2/G3</w:t>
              <w:br/>
              <w:t>横向／异常 / S03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accounts/governance.py:change_account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AC-22</w:t>
              <w:br/>
              <w:t>撤权后旧页面不能继续使用；目标已有绑定不可覆盖。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v0.8候选新增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SU-23</w:t>
              <w:br/>
              <w:t>管理账号状态与重置密码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横向：G2</w:t>
              <w:br/>
              <w:t>横向／异常 / S03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accounts/governance.py:change_account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AC-23</w:t>
              <w:br/>
              <w:t>有相关未闭合业务时停用被阻止；密码重置不改变角色与历史金额。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v0.8候选新增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SU-24</w:t>
              <w:br/>
              <w:t>修改本人密码</w:t>
            </w:r>
          </w:p>
        </w:tc>
        <w:tc>
          <w:tcPr>
            <w:tcW w:type="dxa" w:w="170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横向：G2/G3</w:t>
              <w:br/>
              <w:t>横向／异常 / S03</w:t>
            </w:r>
          </w:p>
        </w:tc>
        <w:tc>
          <w:tcPr>
            <w:tcW w:type="dxa" w:w="198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accounts/governance_views.py:change_own_password</w:t>
            </w:r>
          </w:p>
        </w:tc>
        <w:tc>
          <w:tcPr>
            <w:tcW w:type="dxa" w:w="283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AC-24</w:t>
              <w:br/>
              <w:t>新密码成功后旧密码不可用；输入值不在日志或页面回显。</w:t>
            </w:r>
          </w:p>
        </w:tc>
        <w:tc>
          <w:tcPr>
            <w:tcW w:type="dxa" w:w="1134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v0.8候选新增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SU-25</w:t>
              <w:br/>
              <w:t>维护与查阅标准治疗价格目录</w:t>
            </w:r>
          </w:p>
        </w:tc>
        <w:tc>
          <w:tcPr>
            <w:tcW w:type="dxa" w:w="170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BU-03 / 横向：G2</w:t>
              <w:br/>
              <w:t>横向／异常 / S03</w:t>
            </w:r>
          </w:p>
        </w:tc>
        <w:tc>
          <w:tcPr>
            <w:tcW w:type="dxa" w:w="198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registry/catalog.py、catalog_views.py</w:t>
            </w:r>
          </w:p>
        </w:tc>
        <w:tc>
          <w:tcPr>
            <w:tcW w:type="dxa" w:w="283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AC-25</w:t>
              <w:br/>
              <w:t>目录调价后已发布账单金额和治疗价格快照保持原值。</w:t>
            </w:r>
          </w:p>
        </w:tc>
        <w:tc>
          <w:tcPr>
            <w:tcW w:type="dxa" w:w="1134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v0.8候选新增</w:t>
            </w:r>
          </w:p>
        </w:tc>
      </w:tr>
    </w:tbl>
    <w:p>
      <w:pPr>
        <w:pStyle w:val="Heading2"/>
      </w:pPr>
      <w:r>
        <w:t>旧规约的明确修正</w:t>
      </w:r>
    </w:p>
    <w:p>
      <w:r>
        <w:rPr>
          <w:b w:val="0"/>
        </w:rPr>
        <w:t>SU-01不再以“凭据已正确”作为登录前置条件，并补充单身份直达。SU-13解释“最晚必须结束”。SU-18将治疗记录与结算分开。SU-21—25补充账号和目录，不以技术账号默认拥有业务权限。</w:t>
      </w:r>
    </w:p>
    <w:p>
      <w:r>
        <w:br w:type="page"/>
      </w:r>
    </w:p>
    <w:p>
      <w:pPr>
        <w:pStyle w:val="Heading1"/>
      </w:pPr>
      <w:r>
        <w:t>17  实现与验证证据</w:t>
      </w:r>
    </w:p>
    <w:p>
      <w:r>
        <w:rPr>
          <w:b w:val="0"/>
          <w:color w:val="536975"/>
          <w:sz w:val="18"/>
        </w:rPr>
        <w:t>功能存在、用户观察、自动测试和上线是不同证据层次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628"/>
        <w:gridCol w:w="3628"/>
      </w:tblGrid>
      <w:tr>
        <w:trPr>
          <w:cantSplit/>
          <w:tblHeader/>
        </w:trPr>
        <w:tc>
          <w:tcPr>
            <w:tcW w:type="dxa" w:w="238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证据对象</w:t>
            </w:r>
          </w:p>
        </w:tc>
        <w:tc>
          <w:tcPr>
            <w:tcW w:type="dxa" w:w="362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目前可以确认</w:t>
            </w:r>
          </w:p>
        </w:tc>
        <w:tc>
          <w:tcPr>
            <w:tcW w:type="dxa" w:w="3628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仍不能据此确认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E1 v0.3原始日志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已归档的30项测试、迁移及系统检查成功日志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不能继承为v0.7或v0.8通过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E2 v0.7工作台截图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主管/牙医独立界面、身份及诊所提示可见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不能凭截图证明全部对象隔离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E3 v0.7候补操作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截图显示等待→邀约→接受→已转预约；用户确认新预约存在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未完成真实并发和重复提交的证据核对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E4 v0.7拒绝页面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直接访问其他工作台和换店后旧表单均出现受控拒绝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页面文字本身不证明所有数据库写入均未发生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E5 v0.7助手回答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本地规则回答给出具体接诊步骤并标明未调用AI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指南每一步的DOM定位、真实模型准确率仍需测试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E6 本轮alpha.2检查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240项纯规则/静态/模拟协议方法通过；15项为新增目录规则；语法检查通过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未运行Django/PostgreSQL，不代表新目录业务已在浏览器验收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E7 新版自动化目录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269个数据库测试方法已编写；其中16个为本轮目录集成场景</w:t>
            </w:r>
          </w:p>
        </w:tc>
        <w:tc>
          <w:tcPr>
            <w:tcW w:type="dxa" w:w="3628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目前环境无Django/PG，目标包下载DNS失败，测试待执行</w:t>
            </w:r>
          </w:p>
        </w:tc>
      </w:tr>
      <w:tr>
        <w:trPr>
          <w:cantSplit/>
        </w:trPr>
        <w:tc>
          <w:tcPr>
            <w:tcW w:type="dxa" w:w="238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E8 发布边界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本地v0.7保持可用；v0.8为候选源码，未调用外部模型</w:t>
            </w:r>
          </w:p>
        </w:tc>
        <w:tc>
          <w:tcPr>
            <w:tcW w:type="dxa" w:w="3628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公网、完整恢复、容量与安全审计未完成</w:t>
            </w:r>
          </w:p>
        </w:tc>
      </w:tr>
    </w:tbl>
    <w:p>
      <w:r>
        <w:rPr>
          <w:b w:val="0"/>
        </w:rPr>
        <w:t>现有归档不包含新版197项或253项完整数据库回归原始日志，因此不将这些方法列为已通过。旧检查记录保留原版本；本轮报告和源码检查日志随技术归档提供。</w:t>
      </w:r>
    </w:p>
    <w:p>
      <w:pPr>
        <w:pStyle w:val="Heading2"/>
      </w:pPr>
      <w:r>
        <w:t>本轮现场反馈进入需求的方式</w:t>
      </w:r>
    </w:p>
    <w:p>
      <w:r>
        <w:rPr>
          <w:b w:val="0"/>
        </w:rPr>
        <w:t>单身份多一次点击、候补时间允许倒置、笼统错误说明、候补到排程断点，已变成R1.0的显式要求并在候选源码修订。导航与卡片重复、角色称谓、帮助入口相近等继续作为非阻断体验项记录。</w:t>
      </w:r>
    </w:p>
    <w:p>
      <w:r>
        <w:rPr>
          <w:b w:val="0"/>
          <w:color w:val="536975"/>
          <w:sz w:val="18"/>
        </w:rPr>
        <w:t>本节归纳：报告反映已获得的证据，不把研究建议、截图标签或“测试已编写”转换为已验证结论。</w:t>
      </w:r>
    </w:p>
    <w:p>
      <w:r>
        <w:br w:type="page"/>
      </w:r>
    </w:p>
    <w:p>
      <w:pPr>
        <w:pStyle w:val="Heading1"/>
      </w:pPr>
      <w:r>
        <w:t>18  未决问题与后续开发边界</w:t>
      </w:r>
    </w:p>
    <w:p>
      <w:r>
        <w:rPr>
          <w:b w:val="0"/>
          <w:color w:val="536975"/>
          <w:sz w:val="18"/>
        </w:rPr>
        <w:t>提交阶段报告不等于宣布完成整个v0.8发布计划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515"/>
        <w:gridCol w:w="3061"/>
      </w:tblGrid>
      <w:tr>
        <w:trPr>
          <w:cantSplit/>
          <w:tblHeader/>
        </w:trPr>
        <w:tc>
          <w:tcPr>
            <w:tcW w:type="dxa" w:w="306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仍需确认／实现</w:t>
            </w:r>
          </w:p>
        </w:tc>
        <w:tc>
          <w:tcPr>
            <w:tcW w:type="dxa" w:w="3515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本次处理</w:t>
            </w:r>
          </w:p>
        </w:tc>
        <w:tc>
          <w:tcPr>
            <w:tcW w:type="dxa" w:w="306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不作出的承诺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个人奖金与亏损政策</w:t>
            </w:r>
          </w:p>
        </w:tc>
        <w:tc>
          <w:tcPr>
            <w:tcW w:type="dxa" w:w="351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只测算正总体利润的10%基金</w:t>
            </w:r>
          </w:p>
        </w:tc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不自动发个人奖金或负奖金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临床标准及资格需求映射</w:t>
            </w:r>
          </w:p>
        </w:tc>
        <w:tc>
          <w:tcPr>
            <w:tcW w:type="dxa" w:w="351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保留多资格目录信息，交由后续业务确认</w:t>
            </w:r>
          </w:p>
        </w:tc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不把价目表统一视为治疗质量一致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真实患者账号核验与家属代办</w:t>
            </w:r>
          </w:p>
        </w:tc>
        <w:tc>
          <w:tcPr>
            <w:tcW w:type="dxa" w:w="351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仅受控合成演示绑定</w:t>
            </w:r>
          </w:p>
        </w:tc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不开放患者编号自行认领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多资源与跨店通勤</w:t>
            </w:r>
          </w:p>
        </w:tc>
        <w:tc>
          <w:tcPr>
            <w:tcW w:type="dxa" w:w="351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另建资源与时长模型后再接CP-SAT</w:t>
            </w:r>
          </w:p>
        </w:tc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现有最大匹配不是多资源最优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后台通知及自动回收</w:t>
            </w:r>
          </w:p>
        </w:tc>
        <w:tc>
          <w:tcPr>
            <w:tcW w:type="dxa" w:w="351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当前主动查看＋人员手动回收</w:t>
            </w:r>
          </w:p>
        </w:tc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不宣称已发短信、邮件或自动派单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报表快照与关账</w:t>
            </w:r>
          </w:p>
        </w:tc>
        <w:tc>
          <w:tcPr>
            <w:tcW w:type="dxa" w:w="3515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当前版本可重算，注明时点</w:t>
            </w:r>
          </w:p>
        </w:tc>
        <w:tc>
          <w:tcPr>
            <w:tcW w:type="dxa" w:w="306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不称不可变关账报表</w:t>
            </w:r>
          </w:p>
        </w:tc>
      </w:tr>
      <w:tr>
        <w:trPr>
          <w:cantSplit/>
        </w:trPr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完整部署与恢复</w:t>
            </w:r>
          </w:p>
        </w:tc>
        <w:tc>
          <w:tcPr>
            <w:tcW w:type="dxa" w:w="3515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目标环境另做验证和恢复演练</w:t>
            </w:r>
          </w:p>
        </w:tc>
        <w:tc>
          <w:tcPr>
            <w:tcW w:type="dxa" w:w="306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不在提交前以删库或跳测试强行升级</w:t>
            </w:r>
          </w:p>
        </w:tc>
      </w:tr>
    </w:tbl>
    <w:p>
      <w:pPr>
        <w:pStyle w:val="Heading2"/>
      </w:pPr>
      <w:r>
        <w:t>本轮实现安排</w:t>
      </w:r>
    </w:p>
    <w:p>
      <w:r>
        <w:rPr>
          <w:b w:val="0"/>
        </w:rPr>
        <w:t>在已交付alpha.1之上，增加有限的标准治疗价格目录：财务可新增项目和调整当前价，总部只读；所有调价有依据和审计，旧治疗/账单快照不改。该增量直接支撑BU-03的标准化计费信息，不引入新的预约数据库结构。</w:t>
      </w:r>
    </w:p>
    <w:p>
      <w:r>
        <w:rPr>
          <w:b w:val="0"/>
        </w:rPr>
        <w:t>下一阶段先完成真实数据库与端到端回归，再推进资源目录、统一占用、Outbox、CP-SAT和恢复/容量。第三方组件复用也需要理解接口和补充测试，不能因“框架自带”就宣称系统正确。[N6，第1—4页]</w:t>
      </w:r>
    </w:p>
    <w:p>
      <w:pPr>
        <w:pStyle w:val="Heading2"/>
      </w:pPr>
      <w:r>
        <w:t>结论</w:t>
      </w:r>
    </w:p>
    <w:p>
      <w:r>
        <w:rPr>
          <w:b w:val="0"/>
        </w:rPr>
        <w:t>本文形成“愿景—业务边界—现状/改进序列—系统用例—规约—验收”的完整分析链。系统已经具有可运行的v0.7演示与部分人工反馈，v0.8候选修订为后续实现提供基础。阶段交付的价值是需求与边界清晰、模型可读且相互对应，而不是临近截止增加未经验证的功能数量。</w:t>
      </w:r>
    </w:p>
    <w:p>
      <w:r>
        <w:rPr>
          <w:b w:val="0"/>
          <w:color w:val="536975"/>
          <w:sz w:val="18"/>
        </w:rPr>
        <w:t>本节归纳：保留真实运行基线；优先提交一致的需求材料，扩展与发布继续分阶段取证。</w:t>
      </w:r>
    </w:p>
    <w:p>
      <w:r>
        <w:br w:type="page"/>
      </w:r>
    </w:p>
    <w:p>
      <w:pPr>
        <w:pStyle w:val="Heading1"/>
      </w:pPr>
      <w:r>
        <w:t>19  参考依据与术语索引</w:t>
      </w:r>
    </w:p>
    <w:p>
      <w:r>
        <w:rPr>
          <w:b w:val="0"/>
          <w:color w:val="536975"/>
          <w:sz w:val="18"/>
        </w:rPr>
        <w:t>课程与案例提供任务依据；外部文档解释记法，不证明本系统已实现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731"/>
      </w:tblGrid>
      <w:tr>
        <w:trPr>
          <w:cantSplit/>
          <w:tblHeader/>
        </w:trPr>
        <w:tc>
          <w:tcPr>
            <w:tcW w:type="dxa" w:w="907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8731"/>
            <w:vAlign w:val="top"/>
            <w:shd w:fill="E7F0F2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资料及用途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教师课程沟通截图 IMG_1276.jpeg：愿景；业务用例图、现状/改进业务序列图；系统用例图和用例规约；合并为Word或PDF。未指定页数、图数或额外技术栈。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</w:t>
            </w:r>
          </w:p>
        </w:tc>
        <w:tc>
          <w:tcPr>
            <w:tcW w:type="dxa" w:w="87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Zifeng Chen；Derrick Neufeld指导。ANDREW’S DENTAL CHAIN：数据建模，W44694，2024-10-08版本，第1—2页。课程提供的案例；本报告不附原文及照片。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N1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note__1.pdf，Nancy Leveson，Software Engineering Concepts，第8、18—21页：范围膨胀、组织化复杂性及交互风险。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N2</w:t>
            </w:r>
          </w:p>
        </w:tc>
        <w:tc>
          <w:tcPr>
            <w:tcW w:type="dxa" w:w="87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note__2.pdf，第4—5页：增量交付与风险驱动过程。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N3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note__3.pdf，第1—5、11页：需求/设计区分，可测试需求，异常响应，不变量与前后条件。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N4</w:t>
            </w:r>
          </w:p>
        </w:tc>
        <w:tc>
          <w:tcPr>
            <w:tcW w:type="dxa" w:w="87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note__4.pdf，第7、10—11、15—16页：功能与数据并行细化、ADT、模块联系、内聚/耦合。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N5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note__5.pdf，第4—10页：关注点分离、抽象、简单性、受限可见性、信息隐藏与模块化。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N6</w:t>
            </w:r>
          </w:p>
        </w:tc>
        <w:tc>
          <w:tcPr>
            <w:tcW w:type="dxa" w:w="87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notes__6.pdf，第1—4页：复用的假设、集成代价与测试要求。上述讲义含历史授课材料，不将其统计数字当作当前行业实证。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W1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OMG. Unified Modeling Language 2.5.1, 2017, §17 Interactions / §18 Use Cases. https://www.omg.org/spec/UML/2.5.1 （访问：2026-09-27）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W2</w:t>
            </w:r>
          </w:p>
        </w:tc>
        <w:tc>
          <w:tcPr>
            <w:tcW w:type="dxa" w:w="8731"/>
            <w:vAlign w:val="top"/>
            <w:shd w:fill="F6F8F9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W3C WAI. Use Clear Step-by-step Instructions. https://www.w3.org/WAI/WCAG2/supplemental/patterns/o4p07-step-instructions/ （访问：2026-09-27；补充认知可访问性指导，非完整符合性认证）</w:t>
            </w:r>
          </w:p>
        </w:tc>
      </w:tr>
      <w:tr>
        <w:trPr>
          <w:cantSplit/>
        </w:trPr>
        <w:tc>
          <w:tcPr>
            <w:tcW w:type="dxa" w:w="907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E</w:t>
            </w:r>
          </w:p>
        </w:tc>
        <w:tc>
          <w:tcPr>
            <w:tcW w:type="dxa" w:w="8731"/>
            <w:vAlign w:val="top"/>
            <w:shd w:fill="FFFFFF"/>
            <w:tcMar>
              <w:top w:w="95" w:type="dxa"/>
              <w:left w:w="105" w:type="dxa"/>
              <w:bottom w:w="95" w:type="dxa"/>
              <w:right w:w="105" w:type="dxa"/>
            </w:tcMar>
          </w:tcPr>
          <w:p>
            <w:pPr>
              <w:spacing w:after="40" w:before="0" w:line="259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已归档的v0.3测试日志、v0.7人工操作截图与核对结果；v0.8-alpha.1原始检查记录；本轮alpha.2实际基础检查与源代码核对日志。不同层次不相互替代。</w:t>
            </w:r>
          </w:p>
        </w:tc>
      </w:tr>
    </w:tbl>
    <w:p>
      <w:pPr>
        <w:pStyle w:val="Heading2"/>
      </w:pPr>
      <w:r>
        <w:t>术语速查</w:t>
      </w:r>
    </w:p>
    <w:p>
      <w:r>
        <w:rPr>
          <w:b w:val="0"/>
        </w:rPr>
        <w:t>业务参与者：业务边界之外的结果使用者。业务工作者：业务域内履行职责的角色。系统参与者：与软件交互的外部角色。工作身份：本次激活角色。业务范围：该角色可访问的诊所/本人记录。候补：等待安排的偏好。邀约：限时保留，尚未正式预约。结算单：费用说明而非支付事实。</w:t>
      </w:r>
    </w:p>
    <w:p>
      <w:r>
        <w:rPr>
          <w:b w:val="0"/>
          <w:sz w:val="18"/>
        </w:rPr>
        <w:t>全部图形为本项目建立的分析模型。参与者方框采用«actor»标记，序列图使用生命线、消息与反馈；图形不是形式化正确性或工具互操作认证。提供JSON/SVG/DOT源文件，以便后续更新和检查。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134" w:bottom="907" w:left="1134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需求与业务模型 · R1.0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ADC 牙科连锁运营管理系统  |  系统分析与设计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1" w:lineRule="auto" w:after="12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4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4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F4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5369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ADC牙科连锁运营管理系统：项目愿景、业务建模与需求规约</dc:title>
  <dc:subject>系统分析与设计课程阶段作业；报告需求基线R1.0</dc:subject>
  <dc:creator/>
  <cp:keywords>ADC;愿景;业务用例;业务序列;系统用例;用例规约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