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2026-10-19</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Dental-chain operations connect appointment intake, clinical care, billing and equipment availability. This report studies ADC as one chain of approximately five to twenty clinics and defines the responsibilities and handoffs of seven roles.</w:t>
      </w:r>
    </w:p>
    <w:p>
      <w:pPr>
        <w:spacing w:after="0"/>
      </w:pPr>
      <w:r>
        <w:rPr>
          <w:rFonts w:ascii="Liberation Serif" w:hAnsi="Liberation Serif" w:eastAsia="Noto Serif CJK SC"/>
          <w:b w:val="0"/>
          <w:color w:val="000000"/>
          <w:sz w:val="24"/>
          <w:lang w:val="en-US" w:eastAsia="en-US"/>
          <w:lang w:val="en-US" w:eastAsia="en-US"/>
        </w:rPr>
        <w:t>Telephone consultation, complete patient registration, candidate negotiation, explicit consent and formal booking remain distinct. All booking channels check department hours, service duration, providers, chairs and required equipment. Equipment faults preserve existing promises and open accountable coordination. Actual treatment, versioned bills, independently reviewed cash entries and transaction reconciliation support traceable clinical and financial workflows.</w:t>
      </w:r>
    </w:p>
    <w:p>
      <w:pPr>
        <w:spacing w:after="0"/>
      </w:pPr>
      <w:r>
        <w:rPr>
          <w:rFonts w:ascii="Liberation Serif" w:hAnsi="Liberation Serif" w:eastAsia="Noto Serif CJK SC"/>
          <w:b w:val="0"/>
          <w:color w:val="000000"/>
          <w:sz w:val="24"/>
          <w:lang w:val="en-US" w:eastAsia="en-US"/>
          <w:lang w:val="en-US" w:eastAsia="en-US"/>
        </w:rPr>
        <w:t>Use cases, domain relationships and lifecycle models specify observable outcomes and exceptions. Synthetic scenarios examine cross-role workflows, resource contention, authorization and recovery. Cancellation measures retain denominators and incomplete results. These findings validate course-system rules and do not establish commercial-scale capacity or real-world improvement.</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浏览器访问与模块化结构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22</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24</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40</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44</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45</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47</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47</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47</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48</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49</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51</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68</w:t>
      </w:r>
    </w:p>
    <w:p>
      <w:pPr>
        <w:spacing w:line="320" w:lineRule="exact" w:after="0"/>
        <w:ind w:firstLine="0" w:left="0"/>
        <w:tabs>
          <w:tab w:val="right" w:leader="dot" w:pos="9070"/>
        </w:tabs>
      </w:pPr>
      <w:r>
        <w:rPr>
          <w:rFonts w:ascii="Liberation Serif" w:hAnsi="Liberation Serif" w:eastAsia="Noto Serif CJK SC"/>
          <w:b/>
          <w:color w:val="000000"/>
          <w:sz w:val="21"/>
        </w:rPr>
        <w:t>附录C 预约完善 财务与设备用例规约</w:t>
        <w:tab/>
        <w:t>85</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范围包括患者资料、电话与网站预约、到诊及治疗、结算与资金核对、候补和排班协调、设备维护、经营分析及账号权限。电话接待单、联系责任、统一椅位设备核对及维修协调已实现；患者网站自助改期、小程序与连续诊疗计划作为后续范围。</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57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浏览器访问与模块化结构</w:t>
      </w:r>
    </w:p>
    <w:p>
      <w:pPr>
        <w:spacing w:after="0"/>
      </w:pPr>
      <w:r>
        <w:rPr>
          <w:rFonts w:ascii="Liberation Serif" w:hAnsi="Liberation Serif" w:eastAsia="Noto Serif CJK SC"/>
          <w:b w:val="0"/>
          <w:color w:val="000000"/>
          <w:sz w:val="24"/>
          <w:lang w:val="en-US" w:eastAsia="en-US"/>
        </w:rPr>
        <w:t>采用B/S结构，使员工和患者通过网站访问统一业务记录。移动网站先满足手机预约需求；小程序可作为后续界面渠道接入同一预约服务，患者身份、可用时段、确认和取消规则保持一致。</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6297943"/>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34"/>
                    <a:stretch>
                      <a:fillRect/>
                    </a:stretch>
                  </pic:blipFill>
                  <pic:spPr>
                    <a:xfrm>
                      <a:off x="0" y="0"/>
                      <a:ext cx="5652000" cy="62979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6023060"/>
            <wp:docPr id="35" name="Picture 35"/>
            <wp:cNvGraphicFramePr>
              <a:graphicFrameLocks noChangeAspect="1"/>
            </wp:cNvGraphicFramePr>
            <a:graphic>
              <a:graphicData uri="http://schemas.openxmlformats.org/drawingml/2006/picture">
                <pic:pic>
                  <pic:nvPicPr>
                    <pic:cNvPr id="0" name="B07.png"/>
                    <pic:cNvPicPr/>
                  </pic:nvPicPr>
                  <pic:blipFill>
                    <a:blip r:embed="rId49"/>
                    <a:stretch>
                      <a:fillRect/>
                    </a:stretch>
                  </pic:blipFill>
                  <pic:spPr>
                    <a:xfrm>
                      <a:off x="0" y="0"/>
                      <a:ext cx="5688000" cy="602306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主管先明确暂停新增，前台协商并通过原业务流程处理；有阻断不得提交。只在提交与独立复核成立的分支进入后续维护。该TO-BE模型不声称新增了临床停诊或患者自动同意。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建档、预约协调、真实到诊登记</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当前诊所；代办需患者明确意思</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本店出诊、候补安排与运营查询</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先激活身份，再选择授权诊所</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3140" cy="6479999"/>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36"/>
                    <a:stretch>
                      <a:fillRect/>
                    </a:stretch>
                  </pic:blipFill>
                  <pic:spPr>
                    <a:xfrm>
                      <a:off x="0" y="0"/>
                      <a:ext cx="5623140" cy="6479999"/>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4712914"/>
            <wp:docPr id="36" name="Picture 36"/>
            <wp:cNvGraphicFramePr>
              <a:graphicFrameLocks noChangeAspect="1"/>
            </wp:cNvGraphicFramePr>
            <a:graphic>
              <a:graphicData uri="http://schemas.openxmlformats.org/drawingml/2006/picture">
                <pic:pic>
                  <pic:nvPicPr>
                    <pic:cNvPr id="0" name="S04.png"/>
                    <pic:cNvPicPr/>
                  </pic:nvPicPr>
                  <pic:blipFill>
                    <a:blip r:embed="rId50"/>
                    <a:stretch>
                      <a:fillRect/>
                    </a:stretch>
                  </pic:blipFill>
                  <pic:spPr>
                    <a:xfrm>
                      <a:off x="0" y="0"/>
                      <a:ext cx="5688000" cy="47129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709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51"/>
                    <a:stretch>
                      <a:fillRect/>
                    </a:stretch>
                  </pic:blipFill>
                  <pic:spPr>
                    <a:xfrm>
                      <a:off x="0" y="0"/>
                      <a:ext cx="5670000" cy="6696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57项编号业务用例和1项共享核验。附录A为SU-01—25及SF-01，附录B为SU-26—38，附录C为SU-39—57。电话接待关注咨询与联系，SU-04关注正式成约；网站和未来小程序属于SU-04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登录选店、患者资料、账号与基础目录。</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网站和候补保留未来十四天范围；前台按已发布排班办理。患者可取消本人未开始预约；患者自助改期、公开自注册和小程序接入不在本阶段范围。</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0"/>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spacing w:after="120"/>
        <w:ind w:firstLine="0"/>
      </w:pPr>
      <w:r>
        <w:rPr>
          <w:rFonts w:ascii="Liberation Serif" w:hAnsi="Liberation Serif" w:eastAsia="Noto Serif CJK SC"/>
          <w:b w:val="0"/>
          <w:color w:val="000000"/>
          <w:sz w:val="21"/>
          <w:lang w:val="en-US" w:eastAsia="en-US"/>
        </w:rPr>
        <w:t>思维导图  业务需求 → {电话／网站预约、到诊与治疗、结算收退款、设备维护、取消分析} → {参与者、正常流程、异常与责任}。</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39" name="Picture 39"/>
            <wp:cNvGraphicFramePr>
              <a:graphicFrameLocks noChangeAspect="1"/>
            </wp:cNvGraphicFramePr>
            <a:graphic>
              <a:graphicData uri="http://schemas.openxmlformats.org/drawingml/2006/picture">
                <pic:pic>
                  <pic:nvPicPr>
                    <pic:cNvPr id="0" name="domain_care.png"/>
                    <pic:cNvPicPr/>
                  </pic:nvPicPr>
                  <pic:blipFill>
                    <a:blip r:embed="rId61"/>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0" name="Picture 40"/>
            <wp:cNvGraphicFramePr>
              <a:graphicFrameLocks noChangeAspect="1"/>
            </wp:cNvGraphicFramePr>
            <a:graphic>
              <a:graphicData uri="http://schemas.openxmlformats.org/drawingml/2006/picture">
                <pic:pic>
                  <pic:nvPicPr>
                    <pic:cNvPr id="0" name="domain_reception.png"/>
                    <pic:cNvPicPr/>
                  </pic:nvPicPr>
                  <pic:blipFill>
                    <a:blip r:embed="rId62"/>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1" name="Picture 41"/>
            <wp:cNvGraphicFramePr>
              <a:graphicFrameLocks noChangeAspect="1"/>
            </wp:cNvGraphicFramePr>
            <a:graphic>
              <a:graphicData uri="http://schemas.openxmlformats.org/drawingml/2006/picture">
                <pic:pic>
                  <pic:nvPicPr>
                    <pic:cNvPr id="0" name="domain_resources.png"/>
                    <pic:cNvPicPr/>
                  </pic:nvPicPr>
                  <pic:blipFill>
                    <a:blip r:embed="rId63"/>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2" name="Picture 42"/>
            <wp:cNvGraphicFramePr>
              <a:graphicFrameLocks noChangeAspect="1"/>
            </wp:cNvGraphicFramePr>
            <a:graphic>
              <a:graphicData uri="http://schemas.openxmlformats.org/drawingml/2006/picture">
                <pic:pic>
                  <pic:nvPicPr>
                    <pic:cNvPr id="0" name="visit_state.png"/>
                    <pic:cNvPicPr/>
                  </pic:nvPicPr>
                  <pic:blipFill>
                    <a:blip r:embed="rId64"/>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3" name="Picture 43"/>
            <wp:cNvGraphicFramePr>
              <a:graphicFrameLocks noChangeAspect="1"/>
            </wp:cNvGraphicFramePr>
            <a:graphic>
              <a:graphicData uri="http://schemas.openxmlformats.org/drawingml/2006/picture">
                <pic:pic>
                  <pic:nvPicPr>
                    <pic:cNvPr id="0" name="reception_state.png"/>
                    <pic:cNvPicPr/>
                  </pic:nvPicPr>
                  <pic:blipFill>
                    <a:blip r:embed="rId65"/>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4" name="Picture 44"/>
            <wp:cNvGraphicFramePr>
              <a:graphicFrameLocks noChangeAspect="1"/>
            </wp:cNvGraphicFramePr>
            <a:graphic>
              <a:graphicData uri="http://schemas.openxmlformats.org/drawingml/2006/picture">
                <pic:pic>
                  <pic:nvPicPr>
                    <pic:cNvPr id="0" name="resource_state.png"/>
                    <pic:cNvPicPr/>
                  </pic:nvPicPr>
                  <pic:blipFill>
                    <a:blip r:embed="rId66"/>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直接成约调用统一预约操作，预约、资源占用和接待关联在同一事务完成；失败不留下部分结果，重复确认返回当前已保存结果。候补已成功时关联原预约，不能再创建一条。患者网站沿用本人绑定授权，不把业务编号当作登录凭据。</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5" name="Picture 45"/>
            <wp:cNvGraphicFramePr>
              <a:graphicFrameLocks noChangeAspect="1"/>
            </wp:cNvGraphicFramePr>
            <a:graphic>
              <a:graphicData uri="http://schemas.openxmlformats.org/drawingml/2006/picture">
                <pic:pic>
                  <pic:nvPicPr>
                    <pic:cNvPr id="0" name="domain_appointment.png"/>
                    <pic:cNvPicPr/>
                  </pic:nvPicPr>
                  <pic:blipFill>
                    <a:blip r:embed="rId67"/>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6" name="Picture 46"/>
            <wp:cNvGraphicFramePr>
              <a:graphicFrameLocks noChangeAspect="1"/>
            </wp:cNvGraphicFramePr>
            <a:graphic>
              <a:graphicData uri="http://schemas.openxmlformats.org/drawingml/2006/picture">
                <pic:pic>
                  <pic:nvPicPr>
                    <pic:cNvPr id="0" name="improvement_state.png"/>
                    <pic:cNvPicPr/>
                  </pic:nvPicPr>
                  <pic:blipFill>
                    <a:blip r:embed="rId68"/>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spacing w:after="120"/>
        <w:ind w:firstLine="0"/>
      </w:pPr>
      <w:r>
        <w:rPr>
          <w:rFonts w:ascii="Liberation Serif" w:hAnsi="Liberation Serif" w:eastAsia="Noto Serif CJK SC"/>
          <w:b w:val="0"/>
          <w:color w:val="000000"/>
          <w:sz w:val="21"/>
          <w:lang w:val="en-US" w:eastAsia="en-US"/>
        </w:rPr>
        <w:t>思维导图  系统设计 → {诊疗结算、接待成约、资源占用三个领域视图} → {就诊、接待、资源协调状态} → 模块归属、统一事务与追加历史。</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预约、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须由受控账号绑定本人档案；不含公开自注册。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待实现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现有前台改期继续可用；患者自助渠道需独立验收。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小程序预约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待接入</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先完善移动网站；后续复用同一预约服务。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47" name="Picture 47"/>
            <wp:cNvGraphicFramePr>
              <a:graphicFrameLocks noChangeAspect="1"/>
            </wp:cNvGraphicFramePr>
            <a:graphic>
              <a:graphicData uri="http://schemas.openxmlformats.org/drawingml/2006/picture">
                <pic:pic>
                  <pic:nvPicPr>
                    <pic:cNvPr id="0" name="finance-form-ux2.png"/>
                    <pic:cNvPicPr/>
                  </pic:nvPicPr>
                  <pic:blipFill>
                    <a:blip r:embed="rId69"/>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完整回归通过1,046项源码规则及1,256项数据库、请求和并发测试。新增56项重点核对服务时长、资源争用、接待状态、故障协调、重复确认、撤权及跨店边界；测试数量说明执行范围，不能替代每项业务用例的场景验收。</w:t>
      </w:r>
    </w:p>
    <w:p>
      <w:pPr>
        <w:spacing w:after="0"/>
      </w:pPr>
      <w:r>
        <w:rPr>
          <w:rFonts w:ascii="Liberation Serif" w:hAnsi="Liberation Serif" w:eastAsia="Noto Serif CJK SC"/>
          <w:b w:val="0"/>
          <w:color w:val="000000"/>
          <w:sz w:val="24"/>
          <w:lang w:val="en-US" w:eastAsia="en-US"/>
        </w:rPr>
        <w:t>五诊所浏览器场景分别完成多次电话沟通、完整建档、明确同意、唯一成约、到诊资源核验、实际治疗和独立收款审核。五份账单及已记账收款各为100元，合计500元；网站45分钟服务、15分钟候补、维修独立验收和同时间资源替换保留原承诺及办理历史。</w:t>
      </w:r>
    </w:p>
    <w:p>
      <w:pPr>
        <w:spacing w:after="0"/>
      </w:pPr>
      <w:r>
        <w:rPr>
          <w:rFonts w:ascii="Liberation Serif" w:hAnsi="Liberation Serif" w:eastAsia="Noto Serif CJK SC"/>
          <w:b w:val="0"/>
          <w:color w:val="000000"/>
          <w:sz w:val="24"/>
          <w:lang w:val="en-US" w:eastAsia="en-US"/>
        </w:rPr>
        <w:t>五诊所、二十账号连续三十分钟容量测量执行9,000次请求，80%读取、20%合法写入；普通请求p95为0.352秒，无意外失败、重复业务效果、服务重启或内存耗尽。1,800次写入由900次患者建档和900次接诊草稿保存构成，另行并行执行有限接待、候补及维修活动。该结果界定课程合成负载的已测范围，不代表二十诊所全面运营能力。</w:t>
      </w:r>
    </w:p>
    <w:p>
      <w:pPr>
        <w:spacing w:after="0"/>
      </w:pPr>
      <w:r>
        <w:rPr>
          <w:rFonts w:ascii="Liberation Serif" w:hAnsi="Liberation Serif" w:eastAsia="Noto Serif CJK SC"/>
          <w:b w:val="0"/>
          <w:color w:val="000000"/>
          <w:sz w:val="24"/>
          <w:lang w:val="en-US" w:eastAsia="en-US"/>
        </w:rPr>
        <w:t>真实浏览器核对七角色权限、键盘、390像素窄屏和大字模式；短候补窗口显示可继续协商的提示，设备选项显示资产代码和名称。独立数据库核算确认原有记录、账单与资金不被资源协调改写，新增占用无重叠；加密备份在独立空数据库按同版本迁移恢复后逐表比较，涵盖接待沟通、资源方案、原始凭据和历史。</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以业务问题关联用例、设计责任和验收条件。原AT-01—25及维护协同编号保留，新增AT-B标识目标场景；待实现设计尚未验收，自动测试总量不等于用例覆盖率。</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SU-40；后续患者端范围</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保留前台原改期流程；患者自助渠道尚未交付。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业务验证 → {电话成约、网站候补、椅位设备、接诊结算、财务维护、取消改进} → {授权、竞争、重复、恢复} → 已执行证据与真实成效边界。</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下一阶段优先完善患者网站自助改期和人工协助，再考虑小程序接入与连续诊疗。新增渠道复用同一预约与资源合同，按完整业务场景独立验收。</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已完成：取消闭环</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按时段分析、核实原因、责任联系、措施执行与独立复核。</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合成场景与独立核算通过；实际改善仍需完整运营观察。</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已完成：电话接待</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咨询登记、联络核实、候选协商、责任联系及唯一成约。</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完整建档与明确同意；沟通历史、未成约原因和候补关联可核对。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已完成：资源协同</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服务时长、科室开放、诊室椅位、设备占用及故障协调。</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统一资源规则；原承诺保护；兼容替换、接诊复核与恢复验证。</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B1.4 患者手机服务</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完善网站选约、自助改期、结果查询及人工协助。</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本人授权；窄屏键盘可操作；重复提交和改期失败保持原事实。</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B1.5 小程序渠道</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共享预约库存与规则，接入患者身份。</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独立身份验证和渠道测试；网站与小程序不产生重复预约。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B2 连续诊疗</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多次就诊计划、复诊和随访责任。</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计划不等于实际治疗；修订与执行关联；后续服务可跟进。</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系统运行的独立公网、长期稳定性及更大规模验证仍需后续完成。真实支付、保险、跨币种会计和临床自动判断不属于本报告所承诺的功能。后续开发以本章业务顺序和场景完成条件为依据。</w:t>
      </w:r>
    </w:p>
    <w:p>
      <w:pPr>
        <w:spacing w:after="120"/>
        <w:ind w:firstLine="0"/>
      </w:pPr>
      <w:r>
        <w:rPr>
          <w:rFonts w:ascii="Liberation Serif" w:hAnsi="Liberation Serif" w:eastAsia="Noto Serif CJK SC"/>
          <w:b w:val="0"/>
          <w:color w:val="000000"/>
          <w:sz w:val="21"/>
          <w:lang w:val="en-US" w:eastAsia="en-US"/>
        </w:rPr>
        <w:t>思维导图  已完成 → {取消改进、电话接待、资源协同} → 网站自助改期 → 小程序 → 连续诊疗；成效由完整窗口与真实使用评价。</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已绑定患者账号，或当前诊所前台；患者通过网站、电话或现场明确提出预约。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完整有效患者档案、可接收的出诊；已启用诊所提供服务和资源目录，工作人员有当前店权限，患者账号绑定本人。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15至240分钟、15分钟步长，整段占用；网站及候补未来十四天，前台按已发布排班。患者自助改期仍由SU-40作为后续范围。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前台；患者仅本人未开始预约取消；取消、改期或核实爽约。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患者需明确变更结果；诊所需保留原因与改期历史。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目标尚在允许操作的状态；范围与修订号有效。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患者明确目标预约及取消、改期或爽约核实的请求；患者仅能取消本人允许取消的预约。2）系统核验范围与状态；前台／患者提交允许操作的原因，改期时前台提交本店新时间，爽约时前台确认确未到诊。3）系统验证原计划结束时间等规则并保存已明确确认的结果；改期保留原记录及后继关联，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尚未到结束时间：不能认定爽约。 已到诊/已结束：普通取消或改期被拒绝。 新时段失败：原预约继续有效。患者改期仍联系前台。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状态、到诊标志和历史一致。当前单店工作台的普通改期仅选择当前店时段。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改期失败保留原有效预约；取消和爽约失败不改变原状态，旧记录不删除。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当前诊所主管；主管请求生成候选安排。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审核并发布限时邀约</w:t>
      </w:r>
    </w:p>
    <w:p>
      <w:pPr>
        <w:keepNext/>
        <w:spacing w:after="0"/>
        <w:ind w:firstLine="0"/>
        <w:jc w:val="center"/>
      </w:pPr>
      <w:r>
        <w:rPr>
          <w:rFonts w:ascii="Liberation Serif" w:hAnsi="Liberation Serif" w:eastAsia="Noto Serif CJK SC"/>
          <w:b w:val="0"/>
          <w:color w:val="000000"/>
          <w:sz w:val="21"/>
          <w:lang w:val="en-US" w:eastAsia="en-US"/>
        </w:rPr>
        <w:t>表A-15 SU-15　审核并发布限时邀约用例规约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审核并发布限时邀约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当前诊所主管；主管核对建议后确认发布。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患者需明确确认期限；主管需避免半批发布及过期草案生效。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1）主管提交本店有效牙医及未来出诊起止时间。2）系统核验当前范围、牙医状态、时间顺序及跨店出诊重叠。3）主管明确确认后，系统保存出诊安排与事件并反馈结果；这本身不等于患者预约或临床资格确认。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当前激活MANAGER且已选择诊所的诊所主管。无辅执行者或外部AI。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主管希望明确出诊安排和变更影响；患者希望既有预约或有效邀约不被暗中取消、改期；牙医希望历史出诊和接诊责任可核对；前台希望业务协调与排班维护职责分开。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会话有效，当前工作身份为主管且已选店。是否授权、是否空闲、是否尚未开始以及是否冲突由本用例检查，不把它们全部预设为已满足。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主管指定本店原出诊，请求查询安排及相关业务影响。</w:t>
              <w:br/>
              <w:t>2. 系统核对当前身份与范围，读取原时段、相关预约与邀约的必要事实，反馈时间、牙医、诊所、占用数和读取时点。</w:t>
              <w:br/>
              <w:t>3. 主管提供新的开始、结束和固定类别的依据，请求预览变更。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主管核对影响，明确要求保存。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系统反馈原记录及其替代记录入口，供主管核对已保存事实。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主管放弃：不保存。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主管提出停止某条原时段；有效会话、当前主管身份与诊所已选择。空闲性、有效性和授权由系统核验。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主管指定原出诊并请求停用影响预览。</w:t>
              <w:br/>
              <w:t>2. 系统以与SU-29相同的权限、状态、未来时间、关联一致性与占用规则核对原记录。</w:t>
              <w:br/>
              <w:t>3. 系统反馈原安排、停用影响和已核对的依据；尚不保存。</w:t>
              <w:br/>
              <w:t>4. 主管明确要求保存。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前台在原办理返回后请求重新核对；系统重新读取，不根据刚才点击的按钮推测结果。若当前未发现阻断，反馈“可请主管重新核对”，主管维护仍另行核验。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当前激活MANAGER且已选择获授权诊所的主管。无AI辅执行者。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会话有效、已选择主管身份和诊所。目标有效性、权限、是否结束、当前状态及冲突由本用例检查。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主管指定本店出诊，请求查询接收状态及关联承诺概况。</w:t>
              <w:br/>
              <w:t>2. 系统核验范围，读取原出诊、接收修订号、关联计数和历史游标，反馈目前状态。</w:t>
              <w:br/>
              <w:t>3. 主管提交暂停依据，请求预览。</w:t>
              <w:br/>
              <w:t>4. 系统核验状态一致，反馈拟暂停及保留已有预约/有效邀约的影响，尚不保存。</w:t>
              <w:br/>
              <w:t>5. 主管核对并明确确认。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读取状态→提供恢复依据→预览→主管明确确认→系统重新核对有效牙医/诊所、资料一致性和快照→同事务清除暂停标志、递增修订并审计→反馈。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主管明确确认。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预约完善 财务与设备用例规约</w:t>
      </w:r>
    </w:p>
    <w:p>
      <w:pPr>
        <w:spacing w:after="0"/>
      </w:pPr>
      <w:r>
        <w:rPr>
          <w:rFonts w:ascii="Liberation Serif" w:hAnsi="Liberation Serif" w:eastAsia="Noto Serif CJK SC"/>
          <w:b w:val="0"/>
          <w:color w:val="000000"/>
          <w:sz w:val="21"/>
          <w:lang w:val="en-US" w:eastAsia="en-US"/>
        </w:rPr>
        <w:t>本附录补充SU-39—57。电话接待、多资源核对及资源目录规约说明现有业务；患者自助改期仍待实现。取消分析、财务与设备的原规则继续保留。每项的实现状态及验收目标分别列明。</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本人绑定患者；希望调整未开始预约。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待实现：现有改期由前台办理。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本人有效且未开始的可改预约；替代时段允许接收。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原预约、替代时段、原因、确认。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1）读取本人预约及当前状态。</w:t>
              <w:br/>
              <w:t>2）查询允许替代，并展示原新诊所、医师和起止时间。</w:t>
              <w:br/>
              <w:t>3）患者明确确认。</w:t>
              <w:br/>
              <w:t>4）重新核对授权及原新资源，以同一事务建立后继、保留原记录。</w:t>
              <w:br/>
              <w:t>5）返回原新关系和唯一改期结果。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目标冲突或撤权：失败，原预约继续有效。</w:t>
              <w:br/>
              <w:t>原预约已到诊或取消：拒绝。</w:t>
              <w:br/>
              <w:t>重复成功确认：返回已有后继，不再释放或新建。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一条有效后继预约，原约作为改期前身保留。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失败不丢失原约，不擅自跨店或换医师。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不等于原约取消后重新碰运气；资金不随改期自动变化。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AT-B40-1：两患者同时改入一个时段仅一人成功。</w:t>
              <w:br/>
              <w:t>AT-B40-2：冲突、旧页面、越权及重复确认保留正确原新关系。</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系统分析与设计课程报告</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