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2026年10月25日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 患者可以先按城市或主动定位查找门店，核对地址、电话、营业时间与服务后再登录；公开信息、账号通道及具体就诊人授权分别管理，保持预约与诊疗历史连续。 患者账号、联络号码与就诊人档案分别管理，通过本人申请和门店前台独立核验建立关联；账号登录与具体业务授权分开，保持暂停及恢复的历史。 医保资料以地区目录版本、门店模拟安排、收费项目适配和患者待遇历史分别核对，原始来源、独立复核及未知项目保留；资料准备与实际资金结算分开。 医保结算从实际收费形成唯一模拟请求，经独立分担复核后分别核对患者现金、个人账户承担和基金应收；银行到账、逐笔分配、差额责任与原结算撤销保留完整依据。</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require coordinated appointments, clinical care, billing and equipment. This report analyses ADC as one chain of approximately five to twenty clinics and defines the responsibilities of seven roles. Patients discover published branches before signing in. Patient-channel accounts, contact provenance and patient records remain separate; explicit applications and independent front-desk verification establish or restore the original self association. Sign-in, location and shared phone numbers do not grant clinical access or prove insurance eligibility. Insurance settlement starts from actual charges and retains one original simulated request. Independent review separates patient cash, personal-account responsibility and fund receivables. Bank evidence, claim allocations, discrepancy follow-up and reversals preserve their original facts.</w:t>
      </w:r>
    </w:p>
    <w:p>
      <w:pPr>
        <w:spacing w:after="0"/>
      </w:pPr>
      <w:r>
        <w:rPr>
          <w:rFonts w:ascii="Liberation Serif" w:hAnsi="Liberation Serif" w:eastAsia="Noto Serif CJK SC"/>
          <w:b w:val="0"/>
          <w:color w:val="000000"/>
          <w:sz w:val="24"/>
          <w:lang w:val="en-US" w:eastAsia="en-US"/>
          <w:lang w:val="en-US" w:eastAsia="en-US"/>
        </w:rPr>
        <w:t>Telephone intake separates consultation, complete registration, candidate negotiation, consent and formal booking. The website and native WeChat client reuse appointment and resource rules, preserving original commitments during rescheduling and equipment faults. Continuing care links retained plans, patient decisions, actual work, recall responsibility and laboratory review. Versioned bills, independently reviewed cash and transaction evidence support financial traceability. Insurance preparation retains regional source documents, explicit fee mappings, simulated clinic arrangements and eligibility history, without creating settlement or cash facts.</w:t>
      </w:r>
    </w:p>
    <w:p>
      <w:pPr>
        <w:spacing w:after="0"/>
      </w:pPr>
      <w:r>
        <w:rPr>
          <w:rFonts w:ascii="Liberation Serif" w:hAnsi="Liberation Serif" w:eastAsia="Noto Serif CJK SC"/>
          <w:b w:val="0"/>
          <w:color w:val="000000"/>
          <w:sz w:val="24"/>
          <w:lang w:val="en-US" w:eastAsia="en-US"/>
          <w:lang w:val="en-US" w:eastAsia="en-US"/>
        </w:rPr>
        <w:t>Testable requirements connect business problems to actors, observable outcomes, invariants and failure recovery. Domain, state and database relationship models explain ownership and retained history. Synthetic scenarios examine permissions, resource contention and recovery; unknown results and statistical denominators remain visible. These findings assess course-system rules and usability, while commercial capacity, real-world outcomes, professional approval and external-platform acceptance require separate evidence.</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73</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77</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80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83</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83</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85</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91</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93</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94</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96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113</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130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患者先找店和服务，再按需登录。本地首次授权只建账号，旧账号绑定须原密码。手机号保留来源，不合并或换绑患者。</w:t>
      </w:r>
    </w:p>
    <w:p>
      <w:pPr>
        <w:spacing w:after="0"/>
      </w:pPr>
      <w:r>
        <w:rPr>
          <w:rFonts w:ascii="Liberation Serif" w:hAnsi="Liberation Serif" w:eastAsia="Noto Serif CJK SC"/>
          <w:b w:val="0"/>
          <w:color w:val="000000"/>
          <w:sz w:val="24"/>
          <w:lang w:val="en-US" w:eastAsia="en-US"/>
        </w:rPr>
        <w:t>账号向明确门店申请新档或旧档核验。有权前台核对本人、账号与资料并记录依据，不得自审；待补充继续原申请，撤回保留历史。</w:t>
      </w:r>
    </w:p>
    <w:p>
      <w:pPr>
        <w:spacing w:after="0"/>
      </w:pPr>
      <w:r>
        <w:rPr>
          <w:rFonts w:ascii="Liberation Serif" w:hAnsi="Liberation Serif" w:eastAsia="Noto Serif CJK SC"/>
          <w:b w:val="0"/>
          <w:color w:val="000000"/>
          <w:sz w:val="24"/>
          <w:lang w:val="en-US" w:eastAsia="en-US"/>
        </w:rPr>
        <w:t>新档批准原子建档关联，旧档不改资料。暂停只恢复原关联，安全停用先技术恢复。批准后明确进入，原预约、改期及候补另核权限。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spacing w:after="120"/>
        <w:ind w:firstLine="0"/>
      </w:pPr>
      <w:r>
        <w:rPr>
          <w:rFonts w:ascii="Liberation Serif" w:hAnsi="Liberation Serif" w:eastAsia="Noto Serif CJK SC"/>
          <w:b w:val="0"/>
          <w:color w:val="000000"/>
          <w:sz w:val="21"/>
          <w:lang w:val="en-US" w:eastAsia="en-US"/>
        </w:rPr>
        <w:t>思维导图  实际患者问题 → {找店、账号联络、本人及关系核验、接待排班、检查方案、复诊加工、资金设备} → 岗位和可观察规则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业务责任分成二十六个真实关系视图。独立PostgreSQL实际核对129张表，含128张ORM业务与框架表及1张迁移日志；1266个ORM字段逐项核对，351条普通外键及1条账单复合外键共352条。医保请求、原始结果、独立分担、银行用途、逐笔分配、差额跟进及撤销使用明确关联，原患者、诊疗和资金历史保留。</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631564"/>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63156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解绑不删除ADC账号及事件。一次性凭证按用途引用外部身份或账号，数据库只存摘要。账号联络按user一对一，不与Patient建立手机号匹配外键。首次绑定事件建立患者渠道账号，未获本人或代约授权时上下文岗位仍为空，不能成为员工或临床权限。本地凭证及手机号来源为LOCAL替身，不能写成微信实名或居民身份证。</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4" name="Picture 74"/>
            <wp:cNvGraphicFramePr>
              <a:graphicFrameLocks noChangeAspect="1"/>
            </wp:cNvGraphicFramePr>
            <a:graphic>
              <a:graphicData uri="http://schemas.openxmlformats.org/drawingml/2006/picture">
                <pic:pic>
                  <pic:nvPicPr>
                    <pic:cNvPr id="0" name="clinical_record_state.png"/>
                    <pic:cNvPicPr/>
                  </pic:nvPicPr>
                  <pic:blipFill>
                    <a:blip r:embed="rId101"/>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75" name="Picture 75"/>
            <wp:cNvGraphicFramePr>
              <a:graphicFrameLocks noChangeAspect="1"/>
            </wp:cNvGraphicFramePr>
            <a:graphic>
              <a:graphicData uri="http://schemas.openxmlformats.org/drawingml/2006/picture">
                <pic:pic>
                  <pic:nvPicPr>
                    <pic:cNvPr id="0" name="domain_continuity.png"/>
                    <pic:cNvPicPr/>
                  </pic:nvPicPr>
                  <pic:blipFill>
                    <a:blip r:embed="rId102"/>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76" name="Picture 76"/>
            <wp:cNvGraphicFramePr>
              <a:graphicFrameLocks noChangeAspect="1"/>
            </wp:cNvGraphicFramePr>
            <a:graphic>
              <a:graphicData uri="http://schemas.openxmlformats.org/drawingml/2006/picture">
                <pic:pic>
                  <pic:nvPicPr>
                    <pic:cNvPr id="0" name="recall_state_print.png"/>
                    <pic:cNvPicPr/>
                  </pic:nvPicPr>
                  <pic:blipFill>
                    <a:blip r:embed="rId103"/>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77" name="Picture 77"/>
            <wp:cNvGraphicFramePr>
              <a:graphicFrameLocks noChangeAspect="1"/>
            </wp:cNvGraphicFramePr>
            <a:graphic>
              <a:graphicData uri="http://schemas.openxmlformats.org/drawingml/2006/picture">
                <pic:pic>
                  <pic:nvPicPr>
                    <pic:cNvPr id="0" name="lab_state_print.png"/>
                    <pic:cNvPicPr/>
                  </pic:nvPicPr>
                  <pic:blipFill>
                    <a:blip r:embed="rId104"/>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身份、凭证、联络及追加事件。身份按提供方、应用和主体组合唯一；解绑保留身份历史。本地凭证私有交付，仅存摘要、用途、期限及消费时间。登录与手机凭证不可互换，客户端自报身份或号码不能作为证明。</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spacing w:after="120"/>
        <w:ind w:firstLine="0"/>
      </w:pPr>
      <w:r>
        <w:rPr>
          <w:rFonts w:ascii="Liberation Serif" w:hAnsi="Liberation Serif" w:eastAsia="Noto Serif CJK SC"/>
          <w:b w:val="0"/>
          <w:color w:val="000000"/>
          <w:sz w:val="21"/>
          <w:lang w:val="en-US" w:eastAsia="en-US"/>
        </w:rPr>
        <w:t>思维导图  模块责任 → 真实主外键及基数 → {患者接待、资源临床、原费用与分担、银行分配、差额与撤销} → 追加历史及独立核对 → 业务不变量。</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78" name="Picture 78"/>
            <wp:cNvGraphicFramePr>
              <a:graphicFrameLocks noChangeAspect="1"/>
            </wp:cNvGraphicFramePr>
            <a:graphic>
              <a:graphicData uri="http://schemas.openxmlformats.org/drawingml/2006/picture">
                <pic:pic>
                  <pic:nvPicPr>
                    <pic:cNvPr id="0" name="finance-form-ux2.png"/>
                    <pic:cNvPicPr/>
                  </pic:nvPicPr>
                  <pic:blipFill>
                    <a:blip r:embed="rId105"/>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湖南版本目录、合成待遇、原实际费用模拟结算及基金到账分配和撤销核对已形成明确流程。后续在具备资格后验收真实微信身份和手机号接口、具体定点机构的结算接口。普通微信登录不会取得居民身份证；真实医保结算仍须按机构及地区条件逐项验证，目录分类不能直接视为患者报销比例。</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或明确本地替身账号及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本附录补充SU-39—96，覆盖电话接待、统一资源、取消改进、财务设备、患者关系、专业协作及连续诊疗。每项分别列明岗位、输入、正常与异常路径、最低保证及验收目标。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牙科服务与医保资金协同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