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2026-10-21</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共用患者预约服务，患者可在本人范围内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34</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48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50</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51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52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53</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54</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54</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57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58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60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77</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94</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范围包括患者资料、电话与网站及小程序预约、到诊及治疗、结算与资金核对、候补和排班协调、设备维护、经营分析及账号权限。电话接待、资源核对、前台排班、患者自助改期及小程序基础患者主链已实现。微信平台试用和教师云端演示分别验收，连续诊疗计划留在后续范围。</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58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58项编号业务用例和1项共享核验。附录A为SU-01—25及SF-01，附录B为SU-26—38，附录C为SU-39—58。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登录选店、患者资料、账号与基础目录。</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SU-39—40、54、57—58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课程账号登录、查询、选约、普通时段改期、取消与结果核对；有效候补邀约的在线处理保留在网站，亦可联系前台协助。公开自注册、微信身份自动绑定及微信支付不在当前范围。</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{电话接待、完整建档、网站选约、本人改期、候补替换}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设计依据实际关系表和外键表达，分为预约接待、服务适配、资源占用、诊疗资金、排班协调及患者改期六个视图。图中选取关键字段；系统共69张表，含框架及连接表，169条普通关系与1条账单复合外键均已核对。患者改期复用原有唯一后继及确认回执，没有另建重复预约或取消记录。小程序复用既有授权与预约实体，数据库关系保持一致。</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369745"/>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3697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服务与医师的多对多关系通过真实连接表实现；科室开放区间与医师出诊区间分别保存，共同参与预约核验。</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4178618"/>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4178618"/>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患者授权与网站确认回执复用既有表；nonce唯一，visit_id唯一。预约自引用可空且唯一，构成原约与后继。邀约和取消跟进保留各自原关联，不因后续改期改写；同店本人范围和活动状态由事务命令核验，不能从外键推定权限。</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模块职责 → {接待、排班、临床、资金、设备} → 实际外键与唯一关系 → {原新预约、确认回执、资源方案、候补事实} → 状态与权限分别核验。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须由受控账号绑定本人档案；不含公开自注册。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本人未来预约、本店同服务；普通时段与本人有效邀约均须预览并确认，失败保留原约。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54" name="Picture 54"/>
            <wp:cNvGraphicFramePr>
              <a:graphicFrameLocks noChangeAspect="1"/>
            </wp:cNvGraphicFramePr>
            <a:graphic>
              <a:graphicData uri="http://schemas.openxmlformats.org/drawingml/2006/picture">
                <pic:pic>
                  <pic:nvPicPr>
                    <pic:cNvPr id="0" name="finance-form-ux2.png"/>
                    <pic:cNvPicPr/>
                  </pic:nvPicPr>
                  <pic:blipFill>
                    <a:blip r:embed="rId81"/>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完整回归通过1,052项逻辑规则及1,402项数据库、请求和并发测试，覆盖患者改期、候补登记与邀约、跨端办理、授权隔离、资源竞争及既有诊疗财务流程。测试总量说明执行范围，不代表所有运营情境均已覆盖。</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原生九页通过官方离线语法编译，微信运行时、手机及体验版仍须单独验收。</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患者网站自助改期及原生小程序患者主链已经实现，共用前台排班、资源及取消跟进。小程序采用分配账号办理，普通改期保留原约及唯一后继；网站继续提供候补邀约办理。后续先完成微信平台试用和教师云端演示，再推进连续诊疗。</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已完成：取消闭环</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按时段分析、核实原因、责任联系、措施执行与独立复核。</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合成场景与独立核算通过；实际改善仍需完整运营观察。</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已完成：电话接待</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咨询登记、联络核实、候选协商、责任联系及唯一成约。</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完整建档与明确同意；沟通历史、未成约原因和候补关联可核对。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已完成：资源协同</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服务时长、科室开放、诊室椅位、设备占用及故障协调。</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统一资源规则；原承诺保护；兼容替换、接诊复核与恢复验证。</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已完成：前台排班</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出诊维护、接收控制和候补发布由前台办理，日周视图显示原承诺与资源。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本店授权、跨店医师冲突、重复提交、责任期限与独立复核。</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已完成：数据库关系核对</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六幅ER与完整字段、外键目录同步实际结构；患者改期复用原有唯一后继和确认回执。</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69表、170条外键、42项触发器与39份迁移可核对；图示关系不代替业务授权。</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已完成：患者手机服务</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网站选约、自助改期、本人候补替换、结果查询及人工协助。</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本人授权、原约保护、唯一结果、窄屏键盘操作及接诊结算衔接。</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小程序平台试用</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原生患者主链已联通；完成开发者工具导入、真机检查及教师体验成员配置。</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分配账号授权、合法请求域名和HTTPS；平台实际运行另验收，不能以接口通过代替扫码试用。</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B2 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多次就诊计划、复诊和随访责任。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计划不等于实际治疗；修订与执行关联；后续服务可跟进。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最终提供教师专用的云端网页入口与微信体验版，限定课程账号并保留业务数据。云服务独立运行，客户端不保存数据库或平台密钥。云端访问、微信后台域名及账号配置、长期稳定性仍须按目标环境验证；已实现的本地功能不表示已在微信发布或已部署云端。真实支付、保险、跨币种会计和临床自动判断不属于本报告所承诺的功能。后续开发以本章业务顺序和场景完成条件为依据。</w:t>
      </w:r>
    </w:p>
    <w:p>
      <w:pPr>
        <w:spacing w:after="120"/>
        <w:ind w:firstLine="0"/>
      </w:pPr>
      <w:r>
        <w:rPr>
          <w:rFonts w:ascii="Liberation Serif" w:hAnsi="Liberation Serif" w:eastAsia="Noto Serif CJK SC"/>
          <w:b w:val="0"/>
          <w:color w:val="000000"/>
          <w:sz w:val="21"/>
          <w:lang w:val="en-US" w:eastAsia="en-US"/>
        </w:rPr>
        <w:t>思维导图  业务能力 → {电话接待、资源排班、网站与小程序患者服务、诊疗结算、资金设备} → {微信试用、教师云端演示} → 连续诊疗；各项分别验收。</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已绑定患者账号，或当前诊所前台；患者通过网站、微信小程序、电话或现场明确提出预约。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完整有效患者档案、可接收的出诊；已启用诊所提供服务和资源目录，工作人员有当前店权限，患者账号绑定本人。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小程序使用分配的课程账号登录，共用本人授权与资源核验；本地客户端已联通预约服务。微信开发者工具、真机及体验版发布须单独验收，不把微信请求来源当作患者身份。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当前诊所前台；患者在本人范围取消预约，或按SU-40申请自助改期。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网站与小程序的本人普通改期见SU-40；候补邀约替换暂由网站或前台办理。取消与改期不混计，技术请求重复不能产生重复业务效果。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本附录补充SU-39—58。电话接待、多资源核对、患者自助改期及资源目录规约说明现有业务。取消分析、财务与设备的原规则继续保留；每项实现范围与验收目标分别列明。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多渠道患者服务与诊所业务协同版</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