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2026年10月24日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 连续诊疗进一步区分方案讨论、本人决定、实际执行和后续目标；复诊责任与加工件验收各有明确岗位及完成依据，避免把预约、联系或物理返回当成实际完成。</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本人或经核验的代约人选择就诊人后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 Continuing care separates retained plan versions, exact patient decisions, actual performed work and follow-up goals. Attributed recall and cycle-specific laboratory review preserve existing appointment commitments.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The website and native WeChat mini-program share patient booking services.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 Published clinic offerings distinguish unknown fees from confirmed prices and continue into the same authorized booking workflow in both patient channels.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63</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63</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64</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64</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66</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68</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70</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70</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72</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72</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73</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75</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76</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76</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77</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78</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78</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80</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81</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83</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100</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117</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80项编号业务用例和1项共享核验。附录A为SU-01—25及SF-01，附录B为SU-26—38，附录C为SU-39—80。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公开自注册、微信身份自动绑定及微信支付不在当前范围。</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spacing w:after="120"/>
        <w:ind w:firstLine="0"/>
      </w:pPr>
      <w:r>
        <w:rPr>
          <w:rFonts w:ascii="Liberation Serif" w:hAnsi="Liberation Serif" w:eastAsia="Noto Serif CJK SC"/>
          <w:b w:val="0"/>
          <w:color w:val="000000"/>
          <w:sz w:val="21"/>
          <w:lang w:val="en-US" w:eastAsia="en-US"/>
        </w:rPr>
        <w:t>思维导图  参与者与实际问题 → {关系核验、接待排班、检查方案、复诊加工、收退款、设备维护} → 可观察行为 → 异常继续与最低保证 → 用例及验收。</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预约接待、服务资源、资金与设备、身份专业范围、检查来源、方案执行、后续预约、随访责任和加工验收划分十七个真实关系视图。实际结构为101张表，含100张ORM业务与框架表及1张迁移日志，966个ORM列；281条普通外键及1条账单同次就诊复合外键共282条。领域关系用于解释业务责任，ER解释实际主外键，状态模型解释生命周期，三者不互相替代。</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65" name="Picture 65"/>
            <wp:cNvGraphicFramePr>
              <a:graphicFrameLocks noChangeAspect="1"/>
            </wp:cNvGraphicFramePr>
            <a:graphic>
              <a:graphicData uri="http://schemas.openxmlformats.org/drawingml/2006/picture">
                <pic:pic>
                  <pic:nvPicPr>
                    <pic:cNvPr id="0" name="clinical_record_state.png"/>
                    <pic:cNvPicPr/>
                  </pic:nvPicPr>
                  <pic:blipFill>
                    <a:blip r:embed="rId92"/>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66" name="Picture 66"/>
            <wp:cNvGraphicFramePr>
              <a:graphicFrameLocks noChangeAspect="1"/>
            </wp:cNvGraphicFramePr>
            <a:graphic>
              <a:graphicData uri="http://schemas.openxmlformats.org/drawingml/2006/picture">
                <pic:pic>
                  <pic:nvPicPr>
                    <pic:cNvPr id="0" name="domain_continuity.png"/>
                    <pic:cNvPicPr/>
                  </pic:nvPicPr>
                  <pic:blipFill>
                    <a:blip r:embed="rId93"/>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67" name="Picture 67"/>
            <wp:cNvGraphicFramePr>
              <a:graphicFrameLocks noChangeAspect="1"/>
            </wp:cNvGraphicFramePr>
            <a:graphic>
              <a:graphicData uri="http://schemas.openxmlformats.org/drawingml/2006/picture">
                <pic:pic>
                  <pic:nvPicPr>
                    <pic:cNvPr id="0" name="recall_state_print.png"/>
                    <pic:cNvPicPr/>
                  </pic:nvPicPr>
                  <pic:blipFill>
                    <a:blip r:embed="rId94"/>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68" name="Picture 68"/>
            <wp:cNvGraphicFramePr>
              <a:graphicFrameLocks noChangeAspect="1"/>
            </wp:cNvGraphicFramePr>
            <a:graphic>
              <a:graphicData uri="http://schemas.openxmlformats.org/drawingml/2006/picture">
                <pic:pic>
                  <pic:nvPicPr>
                    <pic:cNvPr id="0" name="lab_state_print.png"/>
                    <pic:cNvPicPr/>
                  </pic:nvPicPr>
                  <pic:blipFill>
                    <a:blip r:embed="rId95"/>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spacing w:after="120"/>
        <w:ind w:firstLine="0"/>
      </w:pPr>
      <w:r>
        <w:rPr>
          <w:rFonts w:ascii="Liberation Serif" w:hAnsi="Liberation Serif" w:eastAsia="Noto Serif CJK SC"/>
          <w:b w:val="0"/>
          <w:color w:val="000000"/>
          <w:sz w:val="21"/>
          <w:lang w:val="en-US" w:eastAsia="en-US"/>
        </w:rPr>
        <w:t>思维导图  模块拥有规则 → 真实主外键 → {检查版本、方案决定、实际执行、唯一开单、随访完成、加工周期} → 原预约与历史保护 → 当前岗位及具体服务核验。</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本人绑定或本店有效代约；不开放自注册。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69" name="Picture 69"/>
            <wp:cNvGraphicFramePr>
              <a:graphicFrameLocks noChangeAspect="1"/>
            </wp:cNvGraphicFramePr>
            <a:graphic>
              <a:graphicData uri="http://schemas.openxmlformats.org/drawingml/2006/picture">
                <pic:pic>
                  <pic:nvPicPr>
                    <pic:cNvPr id="0" name="finance-form-ux2.png"/>
                    <pic:cNvPicPr/>
                  </pic:nvPicPr>
                  <pic:blipFill>
                    <a:blip r:embed="rId96"/>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spacing w:after="120"/>
        <w:ind w:firstLine="0"/>
      </w:pPr>
      <w:r>
        <w:rPr>
          <w:rFonts w:ascii="Liberation Serif" w:hAnsi="Liberation Serif" w:eastAsia="Noto Serif CJK SC"/>
          <w:b w:val="0"/>
          <w:color w:val="000000"/>
          <w:sz w:val="21"/>
          <w:lang w:val="en-US" w:eastAsia="en-US"/>
        </w:rPr>
        <w:t>思维导图  合成跨岗位场景 → 正常与异常路径 → 独立业务核算 → 数据库并发与浏览器 → 容量、恢复与权限 → 分别记录软件和目标环境证据。</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重点推进临床签署归档、处方药事和材料执行；预约、方案讨论或账单记录不能替代完整临床专业制度。</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和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本附录补充SU-39—80，覆盖电话接待、统一资源、取消改进、财务设备、患者关系、专业协作及连续诊疗。每项分别列明岗位、输入、正常与异常路径、最低保证及验收目标。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连续诊疗、复诊责任与加工协同</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