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2026年10月26日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连锁牙科诊所的选诊、预约、检查治疗、费用结算和设备使用相互关联，资料分散容易造成患者等待、承诺冲突与费用争议。本文以Andrew’s Dental Chain（ADC）为背景，面向一家约5至20家诊所的连锁机构，分析七类岗位的责任、业务交接及可观察规则，建立需求、用例、领域关系、状态与验收之间的追踪关系。</w:t>
      </w:r>
    </w:p>
    <w:p>
      <w:pPr>
        <w:spacing w:after="0"/>
      </w:pPr>
      <w:r>
        <w:rPr>
          <w:rFonts w:ascii="Liberation Serif" w:hAnsi="Liberation Serif" w:eastAsia="Noto Serif CJK SC"/>
          <w:b w:val="0"/>
          <w:color w:val="000000"/>
          <w:sz w:val="24"/>
          <w:lang w:val="en-US" w:eastAsia="en-US"/>
        </w:rPr>
        <w:t>系统围绕患者服务过程，整合匿名找店选医、网站与微信小程序访问、本人及代约关系核验、电话接待和统一资源预约。医师本人提交画像，各门店主管审核采用版本，前台负责出诊与调班。检查记录、跨次方案、实际治疗和复诊加工分别保留责任与完成依据；版本化账单、独立收退款、资金凭据、逐笔对账及医保模拟清算形成财务衔接。月度经营核算区分诊疗产值、资金回款和已确认成本，按出诊分钟分摊公共费用，保留缺失、零值和修订历史。</w:t>
      </w:r>
    </w:p>
    <w:p>
      <w:pPr>
        <w:spacing w:after="0"/>
      </w:pPr>
      <w:r>
        <w:rPr>
          <w:rFonts w:ascii="Liberation Serif" w:hAnsi="Liberation Serif" w:eastAsia="Noto Serif CJK SC"/>
          <w:b w:val="0"/>
          <w:color w:val="000000"/>
          <w:sz w:val="24"/>
          <w:lang w:val="en-US" w:eastAsia="en-US"/>
        </w:rPr>
        <w:t>研究采用用例驱动与信息隐藏原则，基于模块化单体、事务约束及追加历史实现可追溯办理。八城二十店的课程合成场景用于核对多渠道流程、岗位隔离、并发、界面与恢复；统计指标明确时间、分母及完整性。验证结果只支持实际执行范围，不能替代真实专业资格、平台联调、临床有效性和独立商用运营评价。</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appointments, clinical care, shared resources and financial review across multiple clinics. This study analyzes a dental chain of approximately five to twenty clinics. Patients discover services before signing in through a shared account. Telephone reception, the website and the native WeChat client reuse booking and resource rules. Patient relationships and chart access are verified separately from authentication.</w:t>
      </w:r>
    </w:p>
    <w:p>
      <w:pPr>
        <w:spacing w:after="0"/>
      </w:pPr>
      <w:r>
        <w:rPr>
          <w:rFonts w:ascii="Liberation Serif" w:hAnsi="Liberation Serif" w:eastAsia="Noto Serif CJK SC"/>
          <w:b w:val="0"/>
          <w:color w:val="000000"/>
          <w:sz w:val="24"/>
          <w:lang w:val="en-US" w:eastAsia="en-US"/>
          <w:lang w:val="en-US" w:eastAsia="en-US"/>
        </w:rPr>
        <w:t>The analysis connects observable business problems to actor responsibilities, use cases, state transitions, database relations and acceptance conditions. The design follows information hiding and uses a modular monolith. It retains treatment versions, actual performed procedures, appointment promises, independent financial decisions, payment evidence and reconciliation history. Maintenance and follow-up responsibilities remain explicit without fabricating clinical completion or financial facts. Versioned doctor introductions are reviewed independently by each clinic. Multi-clinic affiliations do not grant clinical authority, and front-desk staff retain scheduling responsibility. Monthly management accounting separates completed-care production from collections and reviewed costs, retaining explicit missing values, shift-based allocations and report revisions.</w:t>
      </w:r>
    </w:p>
    <w:p>
      <w:pPr>
        <w:spacing w:after="0"/>
      </w:pPr>
      <w:r>
        <w:rPr>
          <w:rFonts w:ascii="Liberation Serif" w:hAnsi="Liberation Serif" w:eastAsia="Noto Serif CJK SC"/>
          <w:b w:val="0"/>
          <w:color w:val="000000"/>
          <w:sz w:val="24"/>
          <w:lang w:val="en-US" w:eastAsia="en-US"/>
          <w:lang w:val="en-US" w:eastAsia="en-US"/>
        </w:rPr>
        <w:t>An implemented synthetic system supports workflow, authorization, concurrency, browser and recovery evaluation. WeChat identity exchange, website scan approval and provider-verified phone challenges have separate real-platform acceptance requirements. The results establish tested system behavior within the observed scope; they do not establish professional qualification, clinical effectiveness or independent commercial operation.</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3.21 医师与门店画像及连续选诊</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3.22 月度经营成本与利润完整性</w:t>
        <w:tab/>
        <w:t>30</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38</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39</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47</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79</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80</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87</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4.24 画像版本、门店采用与任职退出</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4.25 月度核算、分摊与报告版本</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4.26 两端选诊与查询边界</w:t>
        <w:tab/>
        <w:t>91</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92</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94</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95</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96</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98</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99</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99</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100</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103</w:t>
      </w:r>
    </w:p>
    <w:p>
      <w:pPr>
        <w:spacing w:line="320" w:lineRule="exact" w:after="0"/>
        <w:ind w:firstLine="0" w:left="340"/>
        <w:tabs>
          <w:tab w:val="right" w:leader="dot" w:pos="9070"/>
        </w:tabs>
      </w:pPr>
      <w:r>
        <w:rPr>
          <w:rFonts w:ascii="Liberation Serif" w:hAnsi="Liberation Serif" w:eastAsia="Noto Serif CJK SC"/>
          <w:b w:val="0"/>
          <w:color w:val="000000"/>
          <w:sz w:val="21"/>
        </w:rPr>
        <w:t>5.16 医师与门店选诊的跨岗位核对</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5.17 经营核算的独立业务校验</w:t>
        <w:tab/>
        <w:t>104</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106</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107</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110</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127</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144</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候补登记与排程草案都不等于正式预约。主管发布后形成有期限的保留，由本人患者或取得明确意思的前台接受后才创建预约。接受、拒绝和失效在图中分别表达，不视为必然依次发生。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pStyle w:val="Heading2"/>
      </w:pPr>
      <w:r>
        <w:rPr>
          <w:rFonts w:ascii="Liberation Serif" w:hAnsi="Liberation Serif" w:eastAsia="Noto Sans CJK SC"/>
          <w:b/>
          <w:color w:val="000000"/>
          <w:sz w:val="28"/>
        </w:rPr>
        <w:t>3.21 医师与门店画像及连续选诊</w:t>
      </w:r>
    </w:p>
    <w:p>
      <w:pPr>
        <w:spacing w:after="0"/>
      </w:pPr>
      <w:r>
        <w:rPr>
          <w:rFonts w:ascii="Liberation Serif" w:hAnsi="Liberation Serif" w:eastAsia="Noto Serif CJK SC"/>
          <w:b w:val="0"/>
          <w:color w:val="000000"/>
          <w:sz w:val="24"/>
          <w:lang w:val="en-US" w:eastAsia="en-US"/>
        </w:rPr>
        <w:t>患者在预约前需要判断门店服务条件、医师方向及近期出诊。系统公开头像、职称申报、专业方向、简介、从业起点、语言、适配服务和接诊门店；门店提供特色、团队、照片、交通停车、无障碍、电话地址、营业与费用说明。公开字段与内部来源证据分离；课程合成资料不代表真实机构和专业资格。专家目录的姓名、职称、科室组织可供学习[26]，具体画像字段和审核规则由本项目业务责任推导。</w:t>
      </w:r>
    </w:p>
    <w:p>
      <w:pPr>
        <w:spacing w:after="0"/>
      </w:pPr>
      <w:r>
        <w:rPr>
          <w:rFonts w:ascii="Liberation Serif" w:hAnsi="Liberation Serif" w:eastAsia="Noto Serif CJK SC"/>
          <w:b w:val="0"/>
          <w:color w:val="000000"/>
          <w:sz w:val="24"/>
          <w:lang w:val="en-US" w:eastAsia="en-US"/>
        </w:rPr>
        <w:t>医师只提交本人介绍，主管审核本店采用版本。草稿和新提交不替换旧发布，退回与撤回保留历史。一个医师可常驻或轮诊多店，任职不复制身份、不自动授予临床权限；前台继续负责排班。退出任职阻止新增出诊和预约，已有承诺交前台逐项协调，不能自动取消。</w:t>
      </w:r>
    </w:p>
    <w:p>
      <w:pPr>
        <w:spacing w:after="0"/>
      </w:pPr>
      <w:r>
        <w:rPr>
          <w:rFonts w:ascii="Liberation Serif" w:hAnsi="Liberation Serif" w:eastAsia="Noto Serif CJK SC"/>
          <w:b w:val="0"/>
          <w:color w:val="000000"/>
          <w:sz w:val="24"/>
          <w:lang w:val="en-US" w:eastAsia="en-US"/>
        </w:rPr>
        <w:t>门店、医师两条浏览路径最终进入同一服务与时间确认。登录前选择仅为意向，登录和患者切换后重新核验本人或代约权限及资源；无合适时间可选择其他医师、同城门店或候补。两端共用公开投影，不把空闲参考当作资源已保留。</w:t>
      </w:r>
    </w:p>
    <w:p>
      <w:pPr>
        <w:pStyle w:val="Heading2"/>
      </w:pPr>
      <w:r>
        <w:rPr>
          <w:rFonts w:ascii="Liberation Serif" w:hAnsi="Liberation Serif" w:eastAsia="Noto Sans CJK SC"/>
          <w:b/>
          <w:color w:val="000000"/>
          <w:sz w:val="28"/>
        </w:rPr>
        <w:t>3.22 月度经营成本与利润完整性</w:t>
      </w:r>
    </w:p>
    <w:p>
      <w:pPr>
        <w:spacing w:after="0"/>
      </w:pPr>
      <w:r>
        <w:rPr>
          <w:rFonts w:ascii="Liberation Serif" w:hAnsi="Liberation Serif" w:eastAsia="Noto Serif CJK SC"/>
          <w:b w:val="0"/>
          <w:color w:val="000000"/>
          <w:sz w:val="24"/>
          <w:lang w:val="en-US" w:eastAsia="en-US"/>
        </w:rPr>
        <w:t>主管需要分清完成诊疗的账单产值、当期资金回款和经营成本。Open Dental 区分诊疗产值与实际回款[28]；ADC按诊疗完成期汇总当前账单版本，按资金业务日汇总已记账患者收退款，基金到账与已核对分配依原合同归属，不把一次到账再次计为产值。</w:t>
      </w:r>
    </w:p>
    <w:p>
      <w:pPr>
        <w:spacing w:after="0"/>
      </w:pPr>
      <w:r>
        <w:rPr>
          <w:rFonts w:ascii="Liberation Serif" w:hAnsi="Liberation Serif" w:eastAsia="Noto Serif CJK SC"/>
          <w:b w:val="0"/>
          <w:color w:val="000000"/>
          <w:sz w:val="24"/>
          <w:lang w:val="en-US" w:eastAsia="en-US"/>
        </w:rPr>
        <w:t>主管提交本店耗材、人工、租金、水电物业、维修、折旧、营销及其他费用，财务独立复核。总部费用由财务提交、另一财务账号复核，默认留总部中心。成本登记不付款，采购额不冒充当月折旧，旧季度成本不自动复制。维修引用原来源时，同一费用不能跨月重复计入。</w:t>
      </w:r>
    </w:p>
    <w:p>
      <w:pPr>
        <w:spacing w:after="0"/>
      </w:pPr>
      <w:r>
        <w:rPr>
          <w:rFonts w:ascii="Liberation Serif" w:hAnsi="Liberation Serif" w:eastAsia="Noto Serif CJK SC"/>
          <w:b w:val="0"/>
          <w:color w:val="000000"/>
          <w:sz w:val="24"/>
          <w:lang w:val="en-US" w:eastAsia="en-US"/>
        </w:rPr>
        <w:t>直接成本归属医师，公共成本按本店当月有效已发布出诊分钟分摊；暂停接单不等于取消出诊。分币尾差按稳定医师编号分配，总额守恒。无工时保留未分摊金额；缺失费用与明确零费用区分，全部类别核对完整后才确认管理利润。月报保留版本及来源，补录、更正形成新版本，不改写旧报表。</w:t>
      </w:r>
    </w:p>
    <w:p>
      <w:pPr>
        <w:spacing w:after="120"/>
        <w:ind w:firstLine="0"/>
      </w:pPr>
      <w:r>
        <w:rPr>
          <w:rFonts w:ascii="Liberation Serif" w:hAnsi="Liberation Serif" w:eastAsia="Noto Serif CJK SC"/>
          <w:b w:val="0"/>
          <w:color w:val="000000"/>
          <w:sz w:val="21"/>
          <w:lang w:val="en-US" w:eastAsia="en-US"/>
        </w:rPr>
        <w:t>思维导图  患者选择与机构经营 → {公开画像、本人关系、接待排班、诊疗连续、资金设备、月度成本} → 岗位责任 → 可观察规则 → 异常继续 → 用例验收。</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划分为三十一幅实际关系视图。独立PostgreSQL核对142张表，含141张ORM业务与框架表及1张迁移日志；387条普通外键与1条账单复合外键共388条，110个业务触发器。新增四个视图聚焦身份任职、公开画像、预约资源衔接和月度经营核算。保留原62份迁移并追加两份，字段类型、可空性和关系端点逐项与实际结构核对。</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487297"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48729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稳定步骤只表达沿革，不能把旧版本人决定或加工验收当作新版授权。目录定义与时长保留发布时快照，旧记录空值表示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3"/>
        <w:pageBreakBefore/>
      </w:pPr>
      <w:r>
        <w:rPr>
          <w:rFonts w:ascii="Liberation Serif" w:hAnsi="Liberation Serif" w:eastAsia="Noto Sans CJK SC"/>
          <w:b/>
          <w:color w:val="000000"/>
          <w:sz w:val="24"/>
        </w:rPr>
        <w:t>4.13.28 统一医师身份、门店任职与专业授权</w:t>
      </w:r>
    </w:p>
    <w:p>
      <w:pPr>
        <w:keepNext/>
        <w:spacing w:line="240" w:lineRule="auto"/>
        <w:ind w:firstLine="0"/>
        <w:jc w:val="center"/>
      </w:pPr>
      <w:r>
        <w:drawing>
          <wp:inline xmlns:a="http://schemas.openxmlformats.org/drawingml/2006/main" xmlns:pic="http://schemas.openxmlformats.org/drawingml/2006/picture">
            <wp:extent cx="5760000" cy="4233600"/>
            <wp:docPr id="75" name="Picture 75"/>
            <wp:cNvGraphicFramePr>
              <a:graphicFrameLocks noChangeAspect="1"/>
            </wp:cNvGraphicFramePr>
            <a:graphic>
              <a:graphicData uri="http://schemas.openxmlformats.org/drawingml/2006/picture">
                <pic:pic>
                  <pic:nvPicPr>
                    <pic:cNvPr id="0" name="er_profile_affiliation.png"/>
                    <pic:cNvPicPr/>
                  </pic:nvPicPr>
                  <pic:blipFill>
                    <a:blip r:embed="rId102"/>
                    <a:stretch>
                      <a:fillRect/>
                    </a:stretch>
                  </pic:blipFill>
                  <pic:spPr>
                    <a:xfrm>
                      <a:off x="0" y="0"/>
                      <a:ext cx="5760000" cy="4233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统一医师身份、门店任职与专业授权数据库ER图</w:t>
      </w:r>
    </w:p>
    <w:p>
      <w:pPr>
        <w:spacing w:after="0"/>
      </w:pPr>
      <w:r>
        <w:rPr>
          <w:rFonts w:ascii="Liberation Serif" w:hAnsi="Liberation Serif" w:eastAsia="Noto Serif CJK SC"/>
          <w:b w:val="0"/>
          <w:color w:val="000000"/>
          <w:sz w:val="21"/>
          <w:lang w:val="en-US" w:eastAsia="en-US"/>
        </w:rPr>
        <w:t>统一医师可有多个接诊门店，每对医师与门店唯一；常驻与轮诊不复制身份。任职有效期、独立专业授权及前台出诊为不同合同，任职不自动授予诊疗权限。门店任职控制须先核对原出诊和承诺再明确启用；退出阻止新增排班与预约，保留原约并交前台协调，单纯撤回介绍不结束任职。</w:t>
      </w:r>
    </w:p>
    <w:p>
      <w:pPr>
        <w:pStyle w:val="Heading3"/>
        <w:pageBreakBefore/>
      </w:pPr>
      <w:r>
        <w:rPr>
          <w:rFonts w:ascii="Liberation Serif" w:hAnsi="Liberation Serif" w:eastAsia="Noto Sans CJK SC"/>
          <w:b/>
          <w:color w:val="000000"/>
          <w:sz w:val="24"/>
        </w:rPr>
        <w:t>4.13.29 公开画像、不可变提交版本与门店采用</w:t>
      </w:r>
    </w:p>
    <w:p>
      <w:pPr>
        <w:keepNext/>
        <w:spacing w:line="240" w:lineRule="auto"/>
        <w:ind w:firstLine="0"/>
        <w:jc w:val="center"/>
      </w:pPr>
      <w:r>
        <w:drawing>
          <wp:inline xmlns:a="http://schemas.openxmlformats.org/drawingml/2006/main" xmlns:pic="http://schemas.openxmlformats.org/drawingml/2006/picture">
            <wp:extent cx="3192118" cy="6480000"/>
            <wp:docPr id="76" name="Picture 76"/>
            <wp:cNvGraphicFramePr>
              <a:graphicFrameLocks noChangeAspect="1"/>
            </wp:cNvGraphicFramePr>
            <a:graphic>
              <a:graphicData uri="http://schemas.openxmlformats.org/drawingml/2006/picture">
                <pic:pic>
                  <pic:nvPicPr>
                    <pic:cNvPr id="0" name="er_public_profiles.png"/>
                    <pic:cNvPicPr/>
                  </pic:nvPicPr>
                  <pic:blipFill>
                    <a:blip r:embed="rId103"/>
                    <a:stretch>
                      <a:fillRect/>
                    </a:stretch>
                  </pic:blipFill>
                  <pic:spPr>
                    <a:xfrm>
                      <a:off x="0" y="0"/>
                      <a:ext cx="319211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公开画像、不可变提交版本与门店采用数据库ER图</w:t>
      </w:r>
    </w:p>
    <w:p>
      <w:pPr>
        <w:spacing w:after="0"/>
      </w:pPr>
      <w:r>
        <w:rPr>
          <w:rFonts w:ascii="Liberation Serif" w:hAnsi="Liberation Serif" w:eastAsia="Noto Serif CJK SC"/>
          <w:b w:val="0"/>
          <w:color w:val="000000"/>
          <w:sz w:val="21"/>
          <w:lang w:val="en-US" w:eastAsia="en-US"/>
        </w:rPr>
        <w:t>画像恰好属于一个医师或门店，各自唯一。草稿可编辑，提交版本与发布决定追加保留；门店采用医师的确切版本，其他门店不被自动替换。图片规范化字节保存在数据库，版本JSON中的图片编号是应用校验的逻辑引用，并非额外SQL外键；仅当前发布所引用的图片公开。职称来源留在内部，不把课程资料当作真实资格。</w:t>
      </w:r>
    </w:p>
    <w:p>
      <w:pPr>
        <w:pStyle w:val="Heading3"/>
        <w:pageBreakBefore/>
      </w:pPr>
      <w:r>
        <w:rPr>
          <w:rFonts w:ascii="Liberation Serif" w:hAnsi="Liberation Serif" w:eastAsia="Noto Sans CJK SC"/>
          <w:b/>
          <w:color w:val="000000"/>
          <w:sz w:val="24"/>
        </w:rPr>
        <w:t>4.13.30 任职与选诊意向进入统一预约资源</w:t>
      </w:r>
    </w:p>
    <w:p>
      <w:pPr>
        <w:keepNext/>
        <w:spacing w:line="240" w:lineRule="auto"/>
        <w:ind w:firstLine="0"/>
        <w:jc w:val="center"/>
      </w:pPr>
      <w:r>
        <w:drawing>
          <wp:inline xmlns:a="http://schemas.openxmlformats.org/drawingml/2006/main" xmlns:pic="http://schemas.openxmlformats.org/drawingml/2006/picture">
            <wp:extent cx="2969381" cy="6479999"/>
            <wp:docPr id="77" name="Picture 77"/>
            <wp:cNvGraphicFramePr>
              <a:graphicFrameLocks noChangeAspect="1"/>
            </wp:cNvGraphicFramePr>
            <a:graphic>
              <a:graphicData uri="http://schemas.openxmlformats.org/drawingml/2006/picture">
                <pic:pic>
                  <pic:nvPicPr>
                    <pic:cNvPr id="0" name="er_profile_booking.png"/>
                    <pic:cNvPicPr/>
                  </pic:nvPicPr>
                  <pic:blipFill>
                    <a:blip r:embed="rId104"/>
                    <a:stretch>
                      <a:fillRect/>
                    </a:stretch>
                  </pic:blipFill>
                  <pic:spPr>
                    <a:xfrm>
                      <a:off x="0" y="0"/>
                      <a:ext cx="296938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任职与选诊意向进入统一预约资源数据库ER图</w:t>
      </w:r>
    </w:p>
    <w:p>
      <w:pPr>
        <w:spacing w:after="0"/>
      </w:pPr>
      <w:r>
        <w:rPr>
          <w:rFonts w:ascii="Liberation Serif" w:hAnsi="Liberation Serif" w:eastAsia="Noto Serif CJK SC"/>
          <w:b w:val="0"/>
          <w:color w:val="000000"/>
          <w:sz w:val="21"/>
          <w:lang w:val="en-US" w:eastAsia="en-US"/>
        </w:rPr>
        <w:t>公开医师选择只是可恢复意向，不授予患者权限。登录并选择本人或授权就诊人后，所有成约入口重核服务、专业范围、任职、出诊与物理资源。资源计划保留服务时长与原方案；任职结束、原约改期和资源历史分别保留。排程排斥约束及事务锁维持有效占用互斥；完整科室、设备与候补关联见既有资源视图。</w:t>
      </w:r>
    </w:p>
    <w:p>
      <w:pPr>
        <w:pStyle w:val="Heading3"/>
        <w:pageBreakBefore/>
      </w:pPr>
      <w:r>
        <w:rPr>
          <w:rFonts w:ascii="Liberation Serif" w:hAnsi="Liberation Serif" w:eastAsia="Noto Sans CJK SC"/>
          <w:b/>
          <w:color w:val="000000"/>
          <w:sz w:val="24"/>
        </w:rPr>
        <w:t>4.13.31 月度成本、独立复核、工时分摊与留存月报</w:t>
      </w:r>
    </w:p>
    <w:p>
      <w:pPr>
        <w:keepNext/>
        <w:spacing w:line="240" w:lineRule="auto"/>
        <w:ind w:firstLine="0"/>
        <w:jc w:val="center"/>
      </w:pPr>
      <w:r>
        <w:drawing>
          <wp:inline xmlns:a="http://schemas.openxmlformats.org/drawingml/2006/main" xmlns:pic="http://schemas.openxmlformats.org/drawingml/2006/picture">
            <wp:extent cx="3971030" cy="6479999"/>
            <wp:docPr id="78" name="Picture 78"/>
            <wp:cNvGraphicFramePr>
              <a:graphicFrameLocks noChangeAspect="1"/>
            </wp:cNvGraphicFramePr>
            <a:graphic>
              <a:graphicData uri="http://schemas.openxmlformats.org/drawingml/2006/picture">
                <pic:pic>
                  <pic:nvPicPr>
                    <pic:cNvPr id="0" name="er_monthly_management.png"/>
                    <pic:cNvPicPr/>
                  </pic:nvPicPr>
                  <pic:blipFill>
                    <a:blip r:embed="rId105"/>
                    <a:stretch>
                      <a:fillRect/>
                    </a:stretch>
                  </pic:blipFill>
                  <pic:spPr>
                    <a:xfrm>
                      <a:off x="0" y="0"/>
                      <a:ext cx="397103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月度成本、独立复核、工时分摊与留存月报数据库ER图</w:t>
      </w:r>
    </w:p>
    <w:p>
      <w:pPr>
        <w:spacing w:after="0"/>
      </w:pPr>
      <w:r>
        <w:rPr>
          <w:rFonts w:ascii="Liberation Serif" w:hAnsi="Liberation Serif" w:eastAsia="Noto Serif CJK SC"/>
          <w:b w:val="0"/>
          <w:color w:val="000000"/>
          <w:sz w:val="21"/>
          <w:lang w:val="en-US" w:eastAsia="en-US"/>
        </w:rPr>
        <w:t>门店月份唯一，总部月份使用独立空门店成本中心。主管提交，财务独立复核；来源及原金额不可覆写，修订引用上一笔。已确认公共成本按当月有效已发布工时分摊，稳定医师编号分配分币尾差，无工时保留门店未分摊。类别缺失不同于明确零费用。月报保存账单版本、工时、成本、来源修订及覆盖依据的JSON快照；这些快照编号是逻辑来源引用，不虚构月报到账单或出诊的SQL外键。登记成本不产生现金，旧季度台账不自动导入。</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9" name="Picture 79"/>
            <wp:cNvGraphicFramePr>
              <a:graphicFrameLocks noChangeAspect="1"/>
            </wp:cNvGraphicFramePr>
            <a:graphic>
              <a:graphicData uri="http://schemas.openxmlformats.org/drawingml/2006/picture">
                <pic:pic>
                  <pic:nvPicPr>
                    <pic:cNvPr id="0" name="clinical_record_state.png"/>
                    <pic:cNvPicPr/>
                  </pic:nvPicPr>
                  <pic:blipFill>
                    <a:blip r:embed="rId10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80" name="Picture 80"/>
            <wp:cNvGraphicFramePr>
              <a:graphicFrameLocks noChangeAspect="1"/>
            </wp:cNvGraphicFramePr>
            <a:graphic>
              <a:graphicData uri="http://schemas.openxmlformats.org/drawingml/2006/picture">
                <pic:pic>
                  <pic:nvPicPr>
                    <pic:cNvPr id="0" name="domain_continuity.png"/>
                    <pic:cNvPicPr/>
                  </pic:nvPicPr>
                  <pic:blipFill>
                    <a:blip r:embed="rId107"/>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图4-47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81" name="Picture 81"/>
            <wp:cNvGraphicFramePr>
              <a:graphicFrameLocks noChangeAspect="1"/>
            </wp:cNvGraphicFramePr>
            <a:graphic>
              <a:graphicData uri="http://schemas.openxmlformats.org/drawingml/2006/picture">
                <pic:pic>
                  <pic:nvPicPr>
                    <pic:cNvPr id="0" name="recall_state_print.png"/>
                    <pic:cNvPicPr/>
                  </pic:nvPicPr>
                  <pic:blipFill>
                    <a:blip r:embed="rId108"/>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图4-48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82" name="Picture 82"/>
            <wp:cNvGraphicFramePr>
              <a:graphicFrameLocks noChangeAspect="1"/>
            </wp:cNvGraphicFramePr>
            <a:graphic>
              <a:graphicData uri="http://schemas.openxmlformats.org/drawingml/2006/picture">
                <pic:pic>
                  <pic:nvPicPr>
                    <pic:cNvPr id="0" name="lab_state_print.png"/>
                    <pic:cNvPicPr/>
                  </pic:nvPicPr>
                  <pic:blipFill>
                    <a:blip r:embed="rId109"/>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图4-49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83" name="Picture 83"/>
            <wp:cNvGraphicFramePr>
              <a:graphicFrameLocks noChangeAspect="1"/>
            </wp:cNvGraphicFramePr>
            <a:graphic>
              <a:graphicData uri="http://schemas.openxmlformats.org/drawingml/2006/picture">
                <pic:pic>
                  <pic:nvPicPr>
                    <pic:cNvPr id="0" name="wechat_web_login_state.png"/>
                    <pic:cNvPicPr/>
                  </pic:nvPicPr>
                  <pic:blipFill>
                    <a:blip r:embed="rId110"/>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图4-50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pStyle w:val="Heading2"/>
      </w:pPr>
      <w:r>
        <w:rPr>
          <w:rFonts w:ascii="Liberation Serif" w:hAnsi="Liberation Serif" w:eastAsia="Noto Sans CJK SC"/>
          <w:b/>
          <w:color w:val="000000"/>
          <w:sz w:val="28"/>
        </w:rPr>
        <w:t>4.24 画像版本、门店采用与任职退出</w:t>
      </w:r>
    </w:p>
    <w:p>
      <w:pPr>
        <w:spacing w:after="0"/>
      </w:pPr>
      <w:r>
        <w:rPr>
          <w:rFonts w:ascii="Liberation Serif" w:hAnsi="Liberation Serif" w:eastAsia="Noto Serif CJK SC"/>
          <w:b w:val="0"/>
          <w:color w:val="000000"/>
          <w:sz w:val="24"/>
          <w:lang w:val="en-US" w:eastAsia="en-US"/>
        </w:rPr>
        <w:t>PublicProfile恰好属于一个医师或门店，草稿可编辑；ProfileVersion保存不可变提交版本，ProfileAction追加办理决定。医师—门店任职各对唯一，并分别保存采用的版本、展示状态和有效期。主管只可处理当前门店；医师本人不能通过切换角色复核自己的介绍。统一医师身份和门店层级配置的区分也可见Open Dental的机构关联思路[27]。</w:t>
      </w:r>
    </w:p>
    <w:p>
      <w:pPr>
        <w:spacing w:after="0"/>
      </w:pPr>
      <w:r>
        <w:rPr>
          <w:rFonts w:ascii="Liberation Serif" w:hAnsi="Liberation Serif" w:eastAsia="Noto Serif CJK SC"/>
          <w:b w:val="0"/>
          <w:color w:val="000000"/>
          <w:sz w:val="24"/>
          <w:lang w:val="en-US" w:eastAsia="en-US"/>
        </w:rPr>
        <w:t>头像与每店最多三张图片经服务端规范化，去除原始元信息，按摘要、尺寸、说明及字节保存于数据库。公开读取只允许当前已发布版本引用的图片。课程插画由项目自制，不挪用真实医师形象或虚构机构认证。</w:t>
      </w:r>
    </w:p>
    <w:p>
      <w:pPr>
        <w:spacing w:after="0"/>
      </w:pPr>
      <w:r>
        <w:rPr>
          <w:rFonts w:ascii="Liberation Serif" w:hAnsi="Liberation Serif" w:eastAsia="Noto Serif CJK SC"/>
          <w:b w:val="0"/>
          <w:color w:val="000000"/>
          <w:sz w:val="24"/>
          <w:lang w:val="en-US" w:eastAsia="en-US"/>
        </w:rPr>
        <w:t>门店任职控制在原出诊、预约及有效邀约逐项核对后启用。结束任职保留原约及历史，前台在协调清单中处理；撤回介绍仅隐藏展示。病历、专业授权、门店介绍与任职不互相替代。</w:t>
      </w:r>
    </w:p>
    <w:p>
      <w:pPr>
        <w:keepNext/>
        <w:spacing w:line="240" w:lineRule="auto"/>
        <w:ind w:firstLine="0"/>
        <w:jc w:val="center"/>
      </w:pPr>
      <w:r>
        <w:drawing>
          <wp:inline xmlns:a="http://schemas.openxmlformats.org/drawingml/2006/main" xmlns:pic="http://schemas.openxmlformats.org/drawingml/2006/picture">
            <wp:extent cx="5760000" cy="5464145"/>
            <wp:docPr id="84" name="Picture 84"/>
            <wp:cNvGraphicFramePr>
              <a:graphicFrameLocks noChangeAspect="1"/>
            </wp:cNvGraphicFramePr>
            <a:graphic>
              <a:graphicData uri="http://schemas.openxmlformats.org/drawingml/2006/picture">
                <pic:pic>
                  <pic:nvPicPr>
                    <pic:cNvPr id="0" name="profile_publication_state.png"/>
                    <pic:cNvPicPr/>
                  </pic:nvPicPr>
                  <pic:blipFill>
                    <a:blip r:embed="rId111"/>
                    <a:stretch>
                      <a:fillRect/>
                    </a:stretch>
                  </pic:blipFill>
                  <pic:spPr>
                    <a:xfrm>
                      <a:off x="0" y="0"/>
                      <a:ext cx="5760000" cy="5464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图4-51 医师介绍与门店采用的状态</w:t>
      </w:r>
    </w:p>
    <w:p>
      <w:pPr>
        <w:pStyle w:val="Heading2"/>
      </w:pPr>
      <w:r>
        <w:rPr>
          <w:rFonts w:ascii="Liberation Serif" w:hAnsi="Liberation Serif" w:eastAsia="Noto Sans CJK SC"/>
          <w:b/>
          <w:color w:val="000000"/>
          <w:sz w:val="28"/>
        </w:rPr>
        <w:t>4.25 月度核算、分摊与报告版本</w:t>
      </w:r>
    </w:p>
    <w:p>
      <w:pPr>
        <w:spacing w:after="0"/>
      </w:pPr>
      <w:r>
        <w:rPr>
          <w:rFonts w:ascii="Liberation Serif" w:hAnsi="Liberation Serif" w:eastAsia="Noto Serif CJK SC"/>
          <w:b w:val="0"/>
          <w:color w:val="000000"/>
          <w:sz w:val="24"/>
          <w:lang w:val="en-US" w:eastAsia="en-US"/>
        </w:rPr>
        <w:t>CostMonth按门店和年月唯一，总部使用独立空门店成本中心。MonthlyCost保存来源编号、期间、类别、金额、直接归属、原设备来源及修订链；提交后只允许独立复核改变状态，金额和依据不可覆写。同一来源引用的互斥与事务重检共同防止跨月重复。</w:t>
      </w:r>
    </w:p>
    <w:p>
      <w:pPr>
        <w:spacing w:after="0"/>
      </w:pPr>
      <w:r>
        <w:rPr>
          <w:rFonts w:ascii="Liberation Serif" w:hAnsi="Liberation Serif" w:eastAsia="Noto Serif CJK SC"/>
          <w:b w:val="0"/>
          <w:color w:val="000000"/>
          <w:sz w:val="24"/>
          <w:lang w:val="en-US" w:eastAsia="en-US"/>
        </w:rPr>
        <w:t>核算在一致数据库快照中读取当前逻辑账单、已发布出诊、已确认成本与完整性依据。每类别显式确认完整或为零；新成本、设备来源金额变化会使原完整性或月报预览失效。公共成本先按精确比例向下取分，再按医师编号分配剩余分；总分摊加未分摊严格等于公共成本。</w:t>
      </w:r>
    </w:p>
    <w:p>
      <w:pPr>
        <w:spacing w:after="0"/>
      </w:pPr>
      <w:r>
        <w:rPr>
          <w:rFonts w:ascii="Liberation Serif" w:hAnsi="Liberation Serif" w:eastAsia="Noto Serif CJK SC"/>
          <w:b w:val="0"/>
          <w:color w:val="000000"/>
          <w:sz w:val="24"/>
          <w:lang w:val="en-US" w:eastAsia="en-US"/>
        </w:rPr>
        <w:t>ManagementReport保存序号、摘要、来源快照、确认人及时间；CostAllocation保留该版本每医师工时、产值、直接和公共成本。旧账单、成本和报表保留，新版本显示差异。JSON中的来源编号为逻辑追踪，不伪画为数据库外键。净收款不等于账户余额，未核实期初时明确显示余额待核对；工资、税务和完整总账另行建设。</w:t>
      </w:r>
    </w:p>
    <w:p>
      <w:pPr>
        <w:keepNext/>
        <w:spacing w:line="240" w:lineRule="auto"/>
        <w:ind w:firstLine="0"/>
        <w:jc w:val="center"/>
      </w:pPr>
      <w:r>
        <w:drawing>
          <wp:inline xmlns:a="http://schemas.openxmlformats.org/drawingml/2006/main" xmlns:pic="http://schemas.openxmlformats.org/drawingml/2006/picture">
            <wp:extent cx="5760000" cy="6061091"/>
            <wp:docPr id="85" name="Picture 85"/>
            <wp:cNvGraphicFramePr>
              <a:graphicFrameLocks noChangeAspect="1"/>
            </wp:cNvGraphicFramePr>
            <a:graphic>
              <a:graphicData uri="http://schemas.openxmlformats.org/drawingml/2006/picture">
                <pic:pic>
                  <pic:nvPicPr>
                    <pic:cNvPr id="0" name="monthly_cost_state.png"/>
                    <pic:cNvPicPr/>
                  </pic:nvPicPr>
                  <pic:blipFill>
                    <a:blip r:embed="rId112"/>
                    <a:stretch>
                      <a:fillRect/>
                    </a:stretch>
                  </pic:blipFill>
                  <pic:spPr>
                    <a:xfrm>
                      <a:off x="0" y="0"/>
                      <a:ext cx="5760000" cy="60610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图4-52 月度成本与留存月报的状态</w:t>
      </w:r>
    </w:p>
    <w:p>
      <w:pPr>
        <w:pStyle w:val="Heading2"/>
      </w:pPr>
      <w:r>
        <w:rPr>
          <w:rFonts w:ascii="Liberation Serif" w:hAnsi="Liberation Serif" w:eastAsia="Noto Sans CJK SC"/>
          <w:b/>
          <w:color w:val="000000"/>
          <w:sz w:val="28"/>
        </w:rPr>
        <w:t>4.26 两端选诊与查询边界</w:t>
      </w:r>
    </w:p>
    <w:p>
      <w:pPr>
        <w:spacing w:after="0"/>
      </w:pPr>
      <w:r>
        <w:rPr>
          <w:rFonts w:ascii="Liberation Serif" w:hAnsi="Liberation Serif" w:eastAsia="Noto Serif CJK SC"/>
          <w:b w:val="0"/>
          <w:color w:val="000000"/>
          <w:sz w:val="24"/>
          <w:lang w:val="en-US" w:eastAsia="en-US"/>
        </w:rPr>
        <w:t>公开投影批量读取门店营业、服务、团队及近期出诊；图片与出诊明细按需加载。网站提供门店详情、医师目录和详情，小程序使用同一公开投影。门店可按城市、区域、服务与线上可约条件筛选；用户主动提供位置后按由近到远排列。</w:t>
      </w:r>
    </w:p>
    <w:p>
      <w:pPr>
        <w:spacing w:after="0"/>
      </w:pPr>
      <w:r>
        <w:rPr>
          <w:rFonts w:ascii="Liberation Serif" w:hAnsi="Liberation Serif" w:eastAsia="Noto Serif CJK SC"/>
          <w:b w:val="0"/>
          <w:color w:val="000000"/>
          <w:sz w:val="24"/>
          <w:lang w:val="en-US" w:eastAsia="en-US"/>
        </w:rPr>
        <w:t>公开医师与服务意向通过短时、受账号及会话约束的继续标记恢复，不携带授权。预约、改期、候补接受继续使用原业务命令，重核患者关系、医师出诊、专业范围、任职及椅位设备。主管查看本店核算，医师只看本人贡献，前台查看排班履约，财务与总部按既有范围处理汇总。</w:t>
      </w:r>
    </w:p>
    <w:p>
      <w:pPr>
        <w:spacing w:after="120"/>
        <w:ind w:firstLine="0"/>
      </w:pPr>
      <w:r>
        <w:rPr>
          <w:rFonts w:ascii="Liberation Serif" w:hAnsi="Liberation Serif" w:eastAsia="Noto Serif CJK SC"/>
          <w:b w:val="0"/>
          <w:color w:val="000000"/>
          <w:sz w:val="21"/>
          <w:lang w:val="en-US" w:eastAsia="en-US"/>
        </w:rPr>
        <w:t>思维导图  统一身份 → 任职与独立专业授权 → 版本画像及选诊 → 统一患者与资源核验 → 完成诊疗 → 产值／回款／成本 → 工时分摊与留存月报。</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86" name="Picture 86"/>
            <wp:cNvGraphicFramePr>
              <a:graphicFrameLocks noChangeAspect="1"/>
            </wp:cNvGraphicFramePr>
            <a:graphic>
              <a:graphicData uri="http://schemas.openxmlformats.org/drawingml/2006/picture">
                <pic:pic>
                  <pic:nvPicPr>
                    <pic:cNvPr id="0" name="finance-form-ux2.png"/>
                    <pic:cNvPicPr/>
                  </pic:nvPicPr>
                  <pic:blipFill>
                    <a:blip r:embed="rId113"/>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真实临床使用仍须由合格专业人员审定牙科记录术语、模板和诊疗范围，并完成电子签名、归档及相关制度。小程序离线编译与页面处理器验证不代表微信实际运行；真实平台、云环境及持续运行另行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份合成资料，其中长沙四店准备服务、牙椅设备与前台出诊，其余门店只提供已准备的公开资料，不因门店数量推断业务容量。</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真实验收须由两名授权微信用户完成登录和手机扫码确认、拒绝；两部授权手机须实际收到并核验验证码。配套平台条件尚未完成，真实微信、真机扫码和实际短信均记为未完成，整轮目标不标全通过。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pStyle w:val="Heading2"/>
      </w:pPr>
      <w:r>
        <w:rPr>
          <w:rFonts w:ascii="Liberation Serif" w:hAnsi="Liberation Serif" w:eastAsia="Noto Sans CJK SC"/>
          <w:b/>
          <w:color w:val="000000"/>
          <w:sz w:val="28"/>
        </w:rPr>
        <w:t>5.16 医师与门店选诊的跨岗位核对</w:t>
      </w:r>
    </w:p>
    <w:p>
      <w:pPr>
        <w:spacing w:after="0"/>
      </w:pPr>
      <w:r>
        <w:rPr>
          <w:rFonts w:ascii="Liberation Serif" w:hAnsi="Liberation Serif" w:eastAsia="Noto Serif CJK SC"/>
          <w:b w:val="0"/>
          <w:color w:val="000000"/>
          <w:sz w:val="24"/>
          <w:lang w:val="en-US" w:eastAsia="en-US"/>
        </w:rPr>
        <w:t>课程场景采用八城二十家门店，每店配置至少三名可接诊医师、四项服务、两个椅位与必要设备，并由前台发布未来十四天出诊。长沙包含同城轮诊：同一医师在两店展示分别适配的服务与日期，不复制账号或专业身份。课程新增配置与原业务事实分别保留。</w:t>
      </w:r>
    </w:p>
    <w:p>
      <w:pPr>
        <w:spacing w:after="0"/>
      </w:pPr>
      <w:r>
        <w:rPr>
          <w:rFonts w:ascii="Liberation Serif" w:hAnsi="Liberation Serif" w:eastAsia="Noto Serif CJK SC"/>
          <w:b w:val="0"/>
          <w:color w:val="000000"/>
          <w:sz w:val="24"/>
          <w:lang w:val="en-US" w:eastAsia="en-US"/>
        </w:rPr>
        <w:t>浏览器场景依次完成匿名选医、登录恢复、预约确认、重复确认及患者改期；两端按同一患者权限读取预约。医师提交新介绍后，主管退回仍保持旧展示；新版本再提交并由主管发布，网站与小程序投影同步。岗位和跨店拒绝、键盘进入、390px窄屏与放大文字另行核对。</w:t>
      </w:r>
    </w:p>
    <w:p>
      <w:pPr>
        <w:spacing w:after="0"/>
      </w:pPr>
      <w:r>
        <w:rPr>
          <w:rFonts w:ascii="Liberation Serif" w:hAnsi="Liberation Serif" w:eastAsia="Noto Serif CJK SC"/>
          <w:b w:val="0"/>
          <w:color w:val="000000"/>
          <w:sz w:val="24"/>
          <w:lang w:val="en-US" w:eastAsia="en-US"/>
        </w:rPr>
        <w:t>微信页面使用官方离线编译器核对23页模板；页面处理与真实HTTP投影分别测试。真实微信换码、扫码及短信仍等待平台配置，不以合成身份或离线编译替代。</w:t>
      </w:r>
    </w:p>
    <w:p>
      <w:pPr>
        <w:pStyle w:val="Heading2"/>
      </w:pPr>
      <w:r>
        <w:rPr>
          <w:rFonts w:ascii="Liberation Serif" w:hAnsi="Liberation Serif" w:eastAsia="Noto Sans CJK SC"/>
          <w:b/>
          <w:color w:val="000000"/>
          <w:sz w:val="28"/>
        </w:rPr>
        <w:t>5.17 经营核算的独立业务校验</w:t>
      </w:r>
    </w:p>
    <w:p>
      <w:pPr>
        <w:spacing w:after="0"/>
      </w:pPr>
      <w:r>
        <w:rPr>
          <w:rFonts w:ascii="Liberation Serif" w:hAnsi="Liberation Serif" w:eastAsia="Noto Serif CJK SC"/>
          <w:b w:val="0"/>
          <w:color w:val="000000"/>
          <w:sz w:val="24"/>
          <w:lang w:val="en-US" w:eastAsia="en-US"/>
        </w:rPr>
        <w:t>独立场景核对零收入成本、缺失与明确零费用、跨月收退款、一个逻辑账单的多发布版本、设备费用修订和重复来源。主管提交成本后不新增资金流水；财务复核、类别完整核对与新月报确认分别办理。设备来源更正后，原月报不被覆盖，当前核算先显示缺口，完成成本修订后再留存新版本。</w:t>
      </w:r>
    </w:p>
    <w:p>
      <w:pPr>
        <w:spacing w:after="0"/>
      </w:pPr>
      <w:r>
        <w:rPr>
          <w:rFonts w:ascii="Liberation Serif" w:hAnsi="Liberation Serif" w:eastAsia="Noto Serif CJK SC"/>
          <w:b w:val="0"/>
          <w:color w:val="000000"/>
          <w:sz w:val="24"/>
          <w:lang w:val="en-US" w:eastAsia="en-US"/>
        </w:rPr>
        <w:t>分摊例：公共成本0.02元，D1、D2、D3各有1分钟出诊。先向下取分后均为0，按编号将两分分给D1、D2，结果为0.01、0.01、0.00；总额0.02严格守恒。三人均无工时时，0.02全部保留门店未分摊，不制造医师成本。实际出诊按月边界截取，完整依据随报表留存。</w:t>
      </w:r>
    </w:p>
    <w:p>
      <w:pPr>
        <w:spacing w:after="0"/>
      </w:pPr>
      <w:r>
        <w:rPr>
          <w:rFonts w:ascii="Liberation Serif" w:hAnsi="Liberation Serif" w:eastAsia="Noto Serif CJK SC"/>
          <w:b w:val="0"/>
          <w:color w:val="000000"/>
          <w:sz w:val="24"/>
          <w:lang w:val="en-US" w:eastAsia="en-US"/>
        </w:rPr>
        <w:t>原五店临床基准与新二十店画像、经营读取和合法草稿写入分别执行；持续30分钟、20个账号和80%读取／20%写入为验证条件，结果只解释对应负载与资源范围。加密恢复核对图片字节、提交版本、成本、分摊及月报历史，工程执行证据另附，不据此声称已完成独立云端商用验收。</w:t>
      </w:r>
    </w:p>
    <w:p>
      <w:pPr>
        <w:spacing w:after="120"/>
        <w:ind w:firstLine="0"/>
      </w:pPr>
      <w:r>
        <w:rPr>
          <w:rFonts w:ascii="Liberation Serif" w:hAnsi="Liberation Serif" w:eastAsia="Noto Serif CJK SC"/>
          <w:b w:val="0"/>
          <w:color w:val="000000"/>
          <w:sz w:val="21"/>
          <w:lang w:val="en-US" w:eastAsia="en-US"/>
        </w:rPr>
        <w:t>思维导图  合成跨岗位场景 → 正常与异常路径 → 独立业务核算 → 数据库并发与浏览器 → 容量、恢复与权限 → 分别记录软件和目标环境证据。</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重点推进临床签署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登录、网站扫码确认和短信核验已形成统一账号设计及实现，真实平台联调仍须配套应用配置和零费用短信条件。普通微信登录不提供居民身份证；医保真实结算须取得具体机构资质、地区规则和接口条件，不能由模拟资金或目录分类推断。</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演示继续使用分配账号或明确本地替身账号及合成资料。云端访问和微信平台试用需在实际环境独立验收；本地接口联调不表示已在微信发布或已部署云端。真实临床替代还须由具有相应资质的人员完成业务、专业和合规确认，本报告不将规划功能列为已实现。</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spacing w:after="100" w:line="400" w:lineRule="exact"/>
        <w:ind w:firstLine="0"/>
      </w:pPr>
      <w:r>
        <w:rPr>
          <w:rFonts w:ascii="Liberation Serif" w:hAnsi="Liberation Serif" w:eastAsia="Noto Serif CJK SC"/>
          <w:b w:val="0"/>
          <w:color w:val="000000"/>
          <w:sz w:val="21"/>
          <w:lang w:val="en-US" w:eastAsia="en-US"/>
        </w:rPr>
        <w:t>[26] 长沙市口腔医院. 专家目录[EB/OL]. https://www.csskqyy.cn/keshijss/zhuanjia/（访问日期2026-10-26）.</w:t>
      </w:r>
    </w:p>
    <w:p>
      <w:pPr>
        <w:spacing w:after="100" w:line="400" w:lineRule="exact"/>
        <w:ind w:firstLine="0"/>
      </w:pPr>
      <w:r>
        <w:rPr>
          <w:rFonts w:ascii="Liberation Serif" w:hAnsi="Liberation Serif" w:eastAsia="Noto Serif CJK SC"/>
          <w:b w:val="0"/>
          <w:color w:val="000000"/>
          <w:sz w:val="21"/>
          <w:lang w:val="en-US" w:eastAsia="en-US"/>
        </w:rPr>
        <w:t>[27] Open Dental. Provider[EB/OL]. https://www.opendental.com/manual/providerseditwindow.html（访问日期2026-10-26）.</w:t>
      </w:r>
    </w:p>
    <w:p>
      <w:pPr>
        <w:spacing w:after="100" w:line="400" w:lineRule="exact"/>
        <w:ind w:firstLine="0"/>
      </w:pPr>
      <w:r>
        <w:rPr>
          <w:rFonts w:ascii="Liberation Serif" w:hAnsi="Liberation Serif" w:eastAsia="Noto Serif CJK SC"/>
          <w:b w:val="0"/>
          <w:color w:val="000000"/>
          <w:sz w:val="21"/>
          <w:lang w:val="en-US" w:eastAsia="en-US"/>
        </w:rPr>
        <w:t>[28] Open Dental. Production and Income[EB/OL]. https://www.opendental.com/manual/productionincome.html（访问日期2026-10-26）.</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本附录补充SU-39—101，覆盖电话接待、统一资源、取消改进、财务设备、患者关系、专业协作、连续诊疗及微信账号协同。每项分别列明岗位、输入、正常与异常路径、最低保证及验收目标。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3）预览后明确确认具体方案版本。</w:t>
              <w:br/>
              <w:t>4）后续改变另建版本，保留原步骤沿革及发布时目录定义。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2）选择具体版本步骤及本人表态。</w:t>
              <w:br/>
              <w:t>3）核对预览并明确提交。</w:t>
              <w:br/>
              <w:t>4）刷新当前进度，保留所有旧决定。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SU-102　完善并提交本人医师介绍</w:t>
      </w:r>
    </w:p>
    <w:p>
      <w:pPr>
        <w:keepNext/>
        <w:spacing w:after="0"/>
        <w:ind w:firstLine="0"/>
        <w:jc w:val="center"/>
      </w:pPr>
      <w:r>
        <w:rPr>
          <w:rFonts w:ascii="Liberation Serif" w:hAnsi="Liberation Serif" w:eastAsia="Noto Serif CJK SC"/>
          <w:b w:val="0"/>
          <w:color w:val="000000"/>
          <w:sz w:val="21"/>
          <w:lang w:val="en-US" w:eastAsia="en-US"/>
        </w:rPr>
        <w:t>表C-64 SU-102　完善并提交本人医师介绍用例规约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SU-102　完善并提交本人医师介绍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职称申报、方向、简介、经历来源、从业时间、语言及头像。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1）编辑本人草稿并保存。</w:t>
              <w:br/>
              <w:t>2）核对本次内容与图片。</w:t>
              <w:br/>
              <w:t>3）明确提交不可变版本，交门店审核。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草稿被更新：重新读取。</w:t>
              <w:br/>
              <w:t>来源或图片不符：保留原发布。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形成本人可追踪的提交版本。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草稿和提交不直接覆盖公开版本。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P1-PROFILE-01：草稿、重复提交、撤权和图片归属。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SU-103　审核发布或退回本店医师介绍</w:t>
      </w:r>
    </w:p>
    <w:p>
      <w:pPr>
        <w:keepNext/>
        <w:spacing w:after="0"/>
        <w:ind w:firstLine="0"/>
        <w:jc w:val="center"/>
      </w:pPr>
      <w:r>
        <w:rPr>
          <w:rFonts w:ascii="Liberation Serif" w:hAnsi="Liberation Serif" w:eastAsia="Noto Serif CJK SC"/>
          <w:b w:val="0"/>
          <w:color w:val="000000"/>
          <w:sz w:val="21"/>
          <w:lang w:val="en-US" w:eastAsia="en-US"/>
        </w:rPr>
        <w:t>表C-65 SU-103　审核发布或退回本店医师介绍用例规约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SU-103　审核发布或退回本店医师介绍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任职关系、医师确切提交版本及审核意见。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1）查看本店医师提交和内部来源。</w:t>
              <w:br/>
              <w:t>2）明确发布、退回或撤回。</w:t>
              <w:br/>
              <w:t>3）核对版本并确认，保留决定。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新提交使旧预览失效：重核版本。</w:t>
              <w:br/>
              <w:t>本人变换角色申请自审：拒绝。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本店采用明确版本，旧展示及决定留存。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各店独立采用；公开审核不授予专业资格。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P1-PROFILE-02：退回、撤回、跨店及自审拒绝。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SU-104　维护常驻轮诊及结束任职</w:t>
      </w:r>
    </w:p>
    <w:p>
      <w:pPr>
        <w:keepNext/>
        <w:spacing w:after="0"/>
        <w:ind w:firstLine="0"/>
        <w:jc w:val="center"/>
      </w:pPr>
      <w:r>
        <w:rPr>
          <w:rFonts w:ascii="Liberation Serif" w:hAnsi="Liberation Serif" w:eastAsia="Noto Serif CJK SC"/>
          <w:b w:val="0"/>
          <w:color w:val="000000"/>
          <w:sz w:val="21"/>
          <w:lang w:val="en-US" w:eastAsia="en-US"/>
        </w:rPr>
        <w:t>表C-66 SU-104　维护常驻轮诊及结束任职用例规约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SU-104　维护常驻轮诊及结束任职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医师、门店、种类、有效期和原承诺。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1）登记统一医师的接诊关系。</w:t>
              <w:br/>
              <w:t>2）核对原出诊、预约与邀约后启用控制。</w:t>
              <w:br/>
              <w:t>3）结束时列出原承诺，由前台协调。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原承诺不在有效范围：先核对，不能静默启用。</w:t>
              <w:br/>
              <w:t>已有患者预约：保留原约，不能自动取消。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新出诊及成约受有效任职约束，历史保持。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前台排班与专业授权仍独立；撤回介绍不结束任职。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P1-ROSTER：多店、结束与成约并发、原约保护。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SU-105　完善并发布门店画像</w:t>
      </w:r>
    </w:p>
    <w:p>
      <w:pPr>
        <w:keepNext/>
        <w:spacing w:after="0"/>
        <w:ind w:firstLine="0"/>
        <w:jc w:val="center"/>
      </w:pPr>
      <w:r>
        <w:rPr>
          <w:rFonts w:ascii="Liberation Serif" w:hAnsi="Liberation Serif" w:eastAsia="Noto Serif CJK SC"/>
          <w:b w:val="0"/>
          <w:color w:val="000000"/>
          <w:sz w:val="21"/>
          <w:lang w:val="en-US" w:eastAsia="en-US"/>
        </w:rPr>
        <w:t>表C-67 SU-105　完善并发布门店画像用例规约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SU-105　完善并发布门店画像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特色、简介、交通、停车、无障碍、费用说明及最多三图。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1）维护门店草稿并核对图片。</w:t>
              <w:br/>
              <w:t>2）提交明确版本并发布。</w:t>
              <w:br/>
              <w:t>3）读取营业、服务、设备与医保的现有配置。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资料未核实：保留未知。</w:t>
              <w:br/>
              <w:t>新草稿尚未发布：患者仍见旧版。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提供一致且可追踪的门店公开资料。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电话地址各呈现一次；资料不替代真实机构资格。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P1-CLINIC：同店维护、历史、公开字段与恢复。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SU-106　先选门店并比较团队</w:t>
      </w:r>
    </w:p>
    <w:p>
      <w:pPr>
        <w:keepNext/>
        <w:spacing w:after="0"/>
        <w:ind w:firstLine="0"/>
        <w:jc w:val="center"/>
      </w:pPr>
      <w:r>
        <w:rPr>
          <w:rFonts w:ascii="Liberation Serif" w:hAnsi="Liberation Serif" w:eastAsia="Noto Serif CJK SC"/>
          <w:b w:val="0"/>
          <w:color w:val="000000"/>
          <w:sz w:val="21"/>
          <w:lang w:val="en-US" w:eastAsia="en-US"/>
        </w:rPr>
        <w:t>表C-68 SU-106　先选门店并比较团队用例规约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SU-106　先选门店并比较团队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城市、区域、服务、线上预约条件或主动定位。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1）筛选门店并按已授权位置由近到远查看。</w:t>
              <w:br/>
              <w:t>2）查看特色、团队、近期出诊和交通条件。</w:t>
              <w:br/>
              <w:t>3）选择门店、医师及实际服务。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拒绝定位：继续城市筛选。</w:t>
              <w:br/>
              <w:t>无合适时间：明确选其他医师、同城门店或候补。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形成清晰的服务与医师意向。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浏览不占资源、不访问病历。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P1-DISCOVERY：二十店筛选、两端投影及窄屏。</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SU-107　先选医师并核对接诊门店</w:t>
      </w:r>
    </w:p>
    <w:p>
      <w:pPr>
        <w:keepNext/>
        <w:spacing w:after="0"/>
        <w:ind w:firstLine="0"/>
        <w:jc w:val="center"/>
      </w:pPr>
      <w:r>
        <w:rPr>
          <w:rFonts w:ascii="Liberation Serif" w:hAnsi="Liberation Serif" w:eastAsia="Noto Serif CJK SC"/>
          <w:b w:val="0"/>
          <w:color w:val="000000"/>
          <w:sz w:val="21"/>
          <w:lang w:val="en-US" w:eastAsia="en-US"/>
        </w:rPr>
        <w:t>表C-69 SU-107　先选医师并核对接诊门店用例规约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SU-107　先选医师并核对接诊门店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医师方向、简介、语言及接诊日期。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1）查看医师目录与详情。</w:t>
              <w:br/>
              <w:t>2）核对各任职门店的服务和日期。</w:t>
              <w:br/>
              <w:t>3）明确选择同一医师在某店的服务。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任职已结束或介绍撤回：刷新并另选。</w:t>
              <w:br/>
              <w:t>多个门店：不默认替患者决定门店。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保留明确医师和门店的预约意向。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统一身份不重复计为多个医师；资格来源未核验不显示认证。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P1-DOCTOR：轮诊身份、适配服务与失效选择。</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SU-108　在登录及患者切换后继续选医</w:t>
      </w:r>
    </w:p>
    <w:p>
      <w:pPr>
        <w:keepNext/>
        <w:spacing w:after="0"/>
        <w:ind w:firstLine="0"/>
        <w:jc w:val="center"/>
      </w:pPr>
      <w:r>
        <w:rPr>
          <w:rFonts w:ascii="Liberation Serif" w:hAnsi="Liberation Serif" w:eastAsia="Noto Serif CJK SC"/>
          <w:b w:val="0"/>
          <w:color w:val="000000"/>
          <w:sz w:val="21"/>
          <w:lang w:val="en-US" w:eastAsia="en-US"/>
        </w:rPr>
        <w:t>表C-70 SU-108　在登录及患者切换后继续选医用例规约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SU-108　在登录及患者切换后继续选医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患者本人、已核验代约人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登录前医师服务意向、账号会话及就诊人。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1）完成患者通道登录。</w:t>
              <w:br/>
              <w:t>2）选择本人或有权限的就诊人。</w:t>
              <w:br/>
              <w:t>3）重核医师、服务、出诊及物理资源后明确预约。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切换就诊人：重新核对授权和确认。</w:t>
              <w:br/>
              <w:t>无资源或撤权：保留原事实，返回可继续办理的选择。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形成唯一授权预约，可继续原改期及候补合同。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意向不是授权，旧预览不绕过患者或资源检查。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P1-HANDOFF：登录延续、改期、候补、代约及重复确认。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SU-109　登记月度直接及公共成本</w:t>
      </w:r>
    </w:p>
    <w:p>
      <w:pPr>
        <w:keepNext/>
        <w:spacing w:after="0"/>
        <w:ind w:firstLine="0"/>
        <w:jc w:val="center"/>
      </w:pPr>
      <w:r>
        <w:rPr>
          <w:rFonts w:ascii="Liberation Serif" w:hAnsi="Liberation Serif" w:eastAsia="Noto Serif CJK SC"/>
          <w:b w:val="0"/>
          <w:color w:val="000000"/>
          <w:sz w:val="21"/>
          <w:lang w:val="en-US" w:eastAsia="en-US"/>
        </w:rPr>
        <w:t>表C-71 SU-109　登记月度直接及公共成本用例规约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SU-109　登记月度直接及公共成本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年月、类别、金额、归属、来源编号及依据。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1）选择本店或总部期间。</w:t>
              <w:br/>
              <w:t>2）核对直接归属医师或公共成本。</w:t>
              <w:br/>
              <w:t>3）引用原维修来源或登记其他来源并提交。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设备采购冒充维修、重复来源或跨店：拒绝。</w:t>
              <w:br/>
              <w:t>缺失费用：保留待核算，不能自动为零。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形成待独立复核成本，不产生付款。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原季度成本不自动导入，来源更正走修订。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P1-COST-01：来源唯一、采购区分与无资金副作用。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SU-110　独立复核成本及核对完整性</w:t>
      </w:r>
    </w:p>
    <w:p>
      <w:pPr>
        <w:keepNext/>
        <w:spacing w:after="0"/>
        <w:ind w:firstLine="0"/>
        <w:jc w:val="center"/>
      </w:pPr>
      <w:r>
        <w:rPr>
          <w:rFonts w:ascii="Liberation Serif" w:hAnsi="Liberation Serif" w:eastAsia="Noto Serif CJK SC"/>
          <w:b w:val="0"/>
          <w:color w:val="000000"/>
          <w:sz w:val="21"/>
          <w:lang w:val="en-US" w:eastAsia="en-US"/>
        </w:rPr>
        <w:t>表C-72 SU-110　独立复核成本及核对完整性用例规约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SU-110　独立复核成本及核对完整性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财务、另一总部财务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待审成本、独立依据和各类完整／零费用结论。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1）核对来源、金额、期间及提交人。</w:t>
              <w:br/>
              <w:t>2）确认或退回，保留独立决定。</w:t>
              <w:br/>
              <w:t>3）逐类别确认完整或确实为零。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提交人自行换角色审核：拒绝。</w:t>
              <w:br/>
              <w:t>待审、新成本或来源变化：完整性待重核。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可区分已确认部分、缺失与明确零费用。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全部类别完整且无待审和来源差异才给出利润。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P1-COST-02：独立复核、缺失零值、撤权及并发。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SU-111　按月分摊公共成本并留存经营报告</w:t>
      </w:r>
    </w:p>
    <w:p>
      <w:pPr>
        <w:keepNext/>
        <w:spacing w:after="0"/>
        <w:ind w:firstLine="0"/>
        <w:jc w:val="center"/>
      </w:pPr>
      <w:r>
        <w:rPr>
          <w:rFonts w:ascii="Liberation Serif" w:hAnsi="Liberation Serif" w:eastAsia="Noto Serif CJK SC"/>
          <w:b w:val="0"/>
          <w:color w:val="000000"/>
          <w:sz w:val="21"/>
          <w:lang w:val="en-US" w:eastAsia="en-US"/>
        </w:rPr>
        <w:t>表C-73 SU-111　按月分摊公共成本并留存经营报告用例规约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SU-111　按月分摊公共成本并留存经营报告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财务；主管、医师与总部按范围查看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当前账单、出诊分钟、已确认成本和完整性。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1）按诊疗完成期计算产值，资金业务日计算回款。</w:t>
              <w:br/>
              <w:t>2）按工时分摊公共成本并守恒分币尾差。</w:t>
              <w:br/>
              <w:t>3）核对范围和差异后确认报告版本。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无工时：保留门店未分摊。</w:t>
              <w:br/>
              <w:t>来源变化或不完整：先补充核对，不确认正式利润。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保留可独立重算的月报及医师分摊依据。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净回款不等于现金余额，管理贡献不自动发工资或报税。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P1-MONTH：跨月、多版本、零收入、零工时和尾差。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SU-112　修订费用并比较月报历史</w:t>
      </w:r>
    </w:p>
    <w:p>
      <w:pPr>
        <w:keepNext/>
        <w:spacing w:after="0"/>
        <w:ind w:firstLine="0"/>
        <w:jc w:val="center"/>
      </w:pPr>
      <w:r>
        <w:rPr>
          <w:rFonts w:ascii="Liberation Serif" w:hAnsi="Liberation Serif" w:eastAsia="Noto Serif CJK SC"/>
          <w:b w:val="0"/>
          <w:color w:val="000000"/>
          <w:sz w:val="21"/>
          <w:lang w:val="en-US" w:eastAsia="en-US"/>
        </w:rPr>
        <w:t>表C-74 SU-112　修订费用并比较月报历史用例规约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SU-112　修订费用并比较月报历史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原成本或设备费用来源、新金额与更正依据。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1）保留原成本并提交修订引用。</w:t>
              <w:br/>
              <w:t>2）独立复核后重新核对类别完整性。</w:t>
              <w:br/>
              <w:t>3）形成新月报并查看与旧版差异。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同一来源跨月或并发重用：仅一份有效结果。</w:t>
              <w:br/>
              <w:t>旧月报预览：刷新来源后再确认。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当前核算采用已确认新版本，原报告和资金仍保留。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更正不覆写金额、不制造平衡资金、不自动重算旧报告。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P1-REVISION：设备来源修订、旧报保留、并发重复。</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医师门店画像与月度经营核算</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