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2026-10-20</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浏览器访问与模块化结构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22</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24</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45</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49</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51</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54</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55</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57</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74</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91</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网站预约、到诊及治疗、结算与资金核对、候补和排班协调、设备维护、经营分析及账号权限。电话接待单、联系责任、统一椅位设备核对及维修协调已实现；患者网站自助改期、小程序与连续诊疗计划作为后续范围。</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58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浏览器访问与模块化结构</w:t>
      </w:r>
    </w:p>
    <w:p>
      <w:pPr>
        <w:spacing w:after="0"/>
      </w:pPr>
      <w:r>
        <w:rPr>
          <w:rFonts w:ascii="Liberation Serif" w:hAnsi="Liberation Serif" w:eastAsia="Noto Serif CJK SC"/>
          <w:b w:val="0"/>
          <w:color w:val="000000"/>
          <w:sz w:val="24"/>
          <w:lang w:val="en-US" w:eastAsia="en-US"/>
        </w:rPr>
        <w:t>采用B/S结构，使员工和患者通过网站访问统一业务记录。移动网站先满足手机预约需求；小程序可作为后续界面渠道接入同一预约服务，患者身份、可用时段、确认和取消规则保持一致。</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58项编号业务用例和1项共享核验。附录A为SU-01—25及SF-01，附录B为SU-26—38，附录C为SU-39—58。电话接待关注咨询与联系，SU-04关注正式成约；网站和未来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SU-39—40、54、57—58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网站和候补保留未来十四天范围；前台按已发布排班办理。患者可取消本人未开始预约；患者自助改期、公开自注册和小程序接入不在本阶段范围。</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业务需求 → {电话／网站预约、到诊与治疗、结算收退款、设备维护、取消分析} → {参与者、正常流程、异常与责任}。</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39" name="Picture 39"/>
            <wp:cNvGraphicFramePr>
              <a:graphicFrameLocks noChangeAspect="1"/>
            </wp:cNvGraphicFramePr>
            <a:graphic>
              <a:graphicData uri="http://schemas.openxmlformats.org/drawingml/2006/picture">
                <pic:pic>
                  <pic:nvPicPr>
                    <pic:cNvPr id="0" name="domain_care.png"/>
                    <pic:cNvPicPr/>
                  </pic:nvPicPr>
                  <pic:blipFill>
                    <a:blip r:embed="rId66"/>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0" name="Picture 40"/>
            <wp:cNvGraphicFramePr>
              <a:graphicFrameLocks noChangeAspect="1"/>
            </wp:cNvGraphicFramePr>
            <a:graphic>
              <a:graphicData uri="http://schemas.openxmlformats.org/drawingml/2006/picture">
                <pic:pic>
                  <pic:nvPicPr>
                    <pic:cNvPr id="0" name="domain_reception.png"/>
                    <pic:cNvPicPr/>
                  </pic:nvPicPr>
                  <pic:blipFill>
                    <a:blip r:embed="rId67"/>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1" name="Picture 41"/>
            <wp:cNvGraphicFramePr>
              <a:graphicFrameLocks noChangeAspect="1"/>
            </wp:cNvGraphicFramePr>
            <a:graphic>
              <a:graphicData uri="http://schemas.openxmlformats.org/drawingml/2006/picture">
                <pic:pic>
                  <pic:nvPicPr>
                    <pic:cNvPr id="0" name="domain_resources.png"/>
                    <pic:cNvPicPr/>
                  </pic:nvPicPr>
                  <pic:blipFill>
                    <a:blip r:embed="rId68"/>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2" name="Picture 42"/>
            <wp:cNvGraphicFramePr>
              <a:graphicFrameLocks noChangeAspect="1"/>
            </wp:cNvGraphicFramePr>
            <a:graphic>
              <a:graphicData uri="http://schemas.openxmlformats.org/drawingml/2006/picture">
                <pic:pic>
                  <pic:nvPicPr>
                    <pic:cNvPr id="0" name="visit_state.png"/>
                    <pic:cNvPicPr/>
                  </pic:nvPicPr>
                  <pic:blipFill>
                    <a:blip r:embed="rId69"/>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3" name="Picture 43"/>
            <wp:cNvGraphicFramePr>
              <a:graphicFrameLocks noChangeAspect="1"/>
            </wp:cNvGraphicFramePr>
            <a:graphic>
              <a:graphicData uri="http://schemas.openxmlformats.org/drawingml/2006/picture">
                <pic:pic>
                  <pic:nvPicPr>
                    <pic:cNvPr id="0" name="reception_state.png"/>
                    <pic:cNvPicPr/>
                  </pic:nvPicPr>
                  <pic:blipFill>
                    <a:blip r:embed="rId70"/>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4" name="Picture 44"/>
            <wp:cNvGraphicFramePr>
              <a:graphicFrameLocks noChangeAspect="1"/>
            </wp:cNvGraphicFramePr>
            <a:graphic>
              <a:graphicData uri="http://schemas.openxmlformats.org/drawingml/2006/picture">
                <pic:pic>
                  <pic:nvPicPr>
                    <pic:cNvPr id="0" name="resource_state.png"/>
                    <pic:cNvPicPr/>
                  </pic:nvPicPr>
                  <pic:blipFill>
                    <a:blip r:embed="rId71"/>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直接成约调用统一预约操作，预约、资源占用和接待关联在同一事务完成；失败不留下部分结果，重复确认返回当前已保存结果。候补已成功时关联原预约，不能再创建一条。患者网站沿用本人绑定授权，不把业务编号当作登录凭据。</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5" name="Picture 45"/>
            <wp:cNvGraphicFramePr>
              <a:graphicFrameLocks noChangeAspect="1"/>
            </wp:cNvGraphicFramePr>
            <a:graphic>
              <a:graphicData uri="http://schemas.openxmlformats.org/drawingml/2006/picture">
                <pic:pic>
                  <pic:nvPicPr>
                    <pic:cNvPr id="0" name="domain_appointment.png"/>
                    <pic:cNvPicPr/>
                  </pic:nvPicPr>
                  <pic:blipFill>
                    <a:blip r:embed="rId72"/>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6" name="Picture 46"/>
            <wp:cNvGraphicFramePr>
              <a:graphicFrameLocks noChangeAspect="1"/>
            </wp:cNvGraphicFramePr>
            <a:graphic>
              <a:graphicData uri="http://schemas.openxmlformats.org/drawingml/2006/picture">
                <pic:pic>
                  <pic:nvPicPr>
                    <pic:cNvPr id="0" name="improvement_state.png"/>
                    <pic:cNvPicPr/>
                  </pic:nvPicPr>
                  <pic:blipFill>
                    <a:blip r:embed="rId73"/>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数据库设计依据实际关系表和外键表达，分为预约接待、服务适配、资源占用、诊疗资金及排班协调五个视图。图中选取关键字段；系统共69张表，含框架及连接表，169条普通关系与1条账单复合外键均已核对。</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5181308" cy="5040000"/>
            <wp:docPr id="47" name="Picture 47"/>
            <wp:cNvGraphicFramePr>
              <a:graphicFrameLocks noChangeAspect="1"/>
            </wp:cNvGraphicFramePr>
            <a:graphic>
              <a:graphicData uri="http://schemas.openxmlformats.org/drawingml/2006/picture">
                <pic:pic>
                  <pic:nvPicPr>
                    <pic:cNvPr id="0" name="er_booking.png"/>
                    <pic:cNvPicPr/>
                  </pic:nvPicPr>
                  <pic:blipFill>
                    <a:blip r:embed="rId74"/>
                    <a:stretch>
                      <a:fillRect/>
                    </a:stretch>
                  </pic:blipFill>
                  <pic:spPr>
                    <a:xfrm>
                      <a:off x="0" y="0"/>
                      <a:ext cx="5181308" cy="504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369745"/>
            <wp:docPr id="48" name="Picture 48"/>
            <wp:cNvGraphicFramePr>
              <a:graphicFrameLocks noChangeAspect="1"/>
            </wp:cNvGraphicFramePr>
            <a:graphic>
              <a:graphicData uri="http://schemas.openxmlformats.org/drawingml/2006/picture">
                <pic:pic>
                  <pic:nvPicPr>
                    <pic:cNvPr id="0" name="er_catalogue.png"/>
                    <pic:cNvPicPr/>
                  </pic:nvPicPr>
                  <pic:blipFill>
                    <a:blip r:embed="rId75"/>
                    <a:stretch>
                      <a:fillRect/>
                    </a:stretch>
                  </pic:blipFill>
                  <pic:spPr>
                    <a:xfrm>
                      <a:off x="0" y="0"/>
                      <a:ext cx="5760000" cy="43697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服务与医师的多对多关系通过真实连接表实现；科室开放区间与医师出诊区间分别保存，共同参与预约核验。</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49" name="Picture 49"/>
            <wp:cNvGraphicFramePr>
              <a:graphicFrameLocks noChangeAspect="1"/>
            </wp:cNvGraphicFramePr>
            <a:graphic>
              <a:graphicData uri="http://schemas.openxmlformats.org/drawingml/2006/picture">
                <pic:pic>
                  <pic:nvPicPr>
                    <pic:cNvPr id="0" name="er_resource_claims.png"/>
                    <pic:cNvPicPr/>
                  </pic:nvPicPr>
                  <pic:blipFill>
                    <a:blip r:embed="rId76"/>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0" name="Picture 50"/>
            <wp:cNvGraphicFramePr>
              <a:graphicFrameLocks noChangeAspect="1"/>
            </wp:cNvGraphicFramePr>
            <a:graphic>
              <a:graphicData uri="http://schemas.openxmlformats.org/drawingml/2006/picture">
                <pic:pic>
                  <pic:nvPicPr>
                    <pic:cNvPr id="0" name="er_finance.png"/>
                    <pic:cNvPicPr/>
                  </pic:nvPicPr>
                  <pic:blipFill>
                    <a:blip r:embed="rId77"/>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1" name="Picture 51"/>
            <wp:cNvGraphicFramePr>
              <a:graphicFrameLocks noChangeAspect="1"/>
            </wp:cNvGraphicFramePr>
            <a:graphic>
              <a:graphicData uri="http://schemas.openxmlformats.org/drawingml/2006/picture">
                <pic:pic>
                  <pic:nvPicPr>
                    <pic:cNvPr id="0" name="er_schedule_coordination.png"/>
                    <pic:cNvPicPr/>
                  </pic:nvPicPr>
                  <pic:blipFill>
                    <a:blip r:embed="rId78"/>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系统设计 → {诊疗、接待、资源领域视图} → {就诊、接待、协调状态} → 数据库ER与主外键 → 前台排班、统一事务与历史。</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预约、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现有前台改期继续可用；患者自助渠道需独立验收。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待接入</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先完善移动网站；后续复用同一预约服务。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2" name="Picture 52"/>
            <wp:cNvGraphicFramePr>
              <a:graphicFrameLocks noChangeAspect="1"/>
            </wp:cNvGraphicFramePr>
            <a:graphic>
              <a:graphicData uri="http://schemas.openxmlformats.org/drawingml/2006/picture">
                <pic:pic>
                  <pic:nvPicPr>
                    <pic:cNvPr id="0" name="finance-form-ux2.png"/>
                    <pic:cNvPicPr/>
                  </pic:nvPicPr>
                  <pic:blipFill>
                    <a:blip r:embed="rId79"/>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新增日周视图和调班业务通过五店场景；数据库反例直接验证同店、科室、双来源及完整占用区间。当前业务演练与容量结果分别保存，不把测试数量表述为全部业务效果。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五店真实浏览器293项核对；完整规则1046项及数据库／请求／并发1299项通过。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1,046项逻辑规则及1,299项数据库、请求和并发测试。本阶段新增43项验证，重点核对前台权限、日周空档、跟进期限、来源关系、重复确认及并发；测试数量说明执行范围，不能替代每项真实业务场景验收。</w:t>
      </w:r>
    </w:p>
    <w:p>
      <w:pPr>
        <w:spacing w:after="0"/>
      </w:pPr>
      <w:r>
        <w:rPr>
          <w:rFonts w:ascii="Liberation Serif" w:hAnsi="Liberation Serif" w:eastAsia="Noto Serif CJK SC"/>
          <w:b w:val="0"/>
          <w:color w:val="000000"/>
          <w:sz w:val="24"/>
          <w:lang w:val="en-US" w:eastAsia="en-US"/>
        </w:rPr>
        <w:t>五店调班场景覆盖出诊登记、明确同意成约、联系未果保留原约、患者同意改期、不同账号复核及前台另行维护。两店继续完成兼容椅位替换、到诊、实际治疗与结算，每笔开单和独立审核收款均为100元，合计200元；数据库另行核算原约、方案版本、任务期限、通知及金额。</w:t>
      </w:r>
    </w:p>
    <w:p>
      <w:pPr>
        <w:spacing w:after="0"/>
      </w:pPr>
      <w:r>
        <w:rPr>
          <w:rFonts w:ascii="Liberation Serif" w:hAnsi="Liberation Serif" w:eastAsia="Noto Serif CJK SC"/>
          <w:b w:val="0"/>
          <w:color w:val="000000"/>
          <w:sz w:val="24"/>
          <w:lang w:val="en-US" w:eastAsia="en-US"/>
        </w:rPr>
        <w:t>本阶段重新执行五诊所、二十账号连续三十分钟负载，共9,000次请求，80%读取、20%合法写入；普通请求p95为0.349秒，没有意外失败、重复业务效果、重启或可见内存耗尽事件。1,800次写入包括900次患者建档和900次接诊草稿保存，数据库逐项核对编号、诊所、版本和最终草稿；该结果不代表二十诊所全面运营能力。</w:t>
      </w:r>
    </w:p>
    <w:p>
      <w:pPr>
        <w:spacing w:after="0"/>
      </w:pPr>
      <w:r>
        <w:rPr>
          <w:rFonts w:ascii="Liberation Serif" w:hAnsi="Liberation Serif" w:eastAsia="Noto Serif CJK SC"/>
          <w:b w:val="0"/>
          <w:color w:val="000000"/>
          <w:sz w:val="24"/>
          <w:lang w:val="en-US" w:eastAsia="en-US"/>
        </w:rPr>
        <w:t>真实浏览器核对角色权限、键盘提交与390像素大字号；日周视图区分计划占用和实际仍在诊，设备选项使用资产代码与名称。加密备份已在独立空库恢复，全部记录、结构及42项触发器定义和启用状态一致；新协调期限与方案、任务及资金历史一并保留。</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以业务问题关联用例、设计责任和验收条件。原AT-01—25及维护协同编号保留，新增AT-B标识目标场景；待实现设计尚未验收，自动测试总量不等于用例覆盖率。</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SU-40；后续患者端范围</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保留前台原改期流程；患者自助渠道尚未交付。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业务验证 → {前台日周排班、调班期限、电话成约、网站候补、椅位设备、接诊结算} → {授权、竞争、重复、恢复} → 可核对结果与成效边界。</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前台排班及数据库关系优化已经实现。下一阶段完善患者网站自助改期、结果查询和人工协助，再推进小程序与连续诊疗；各项完成情况以实际可办理场景核对。</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咨询登记、联络核实、候选协商、责任联系及唯一成约。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完整建档与明确同意；沟通历史、未成约原因和候补关联可核对。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服务时长、科室开放、诊室椅位、设备占用及故障协调。</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统一资源规则；原承诺保护；兼容替换、接诊复核与恢复验证。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已完成：前台排班</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出诊维护、接收控制和候补发布由前台办理，日周视图显示原承诺与资源。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本店授权、跨店医师冲突、重复提交、责任期限与独立复核。</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已完成：数据库关系核对</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五幅ER、完整字段与外键目录同步实际结构，追加资源归属及来源区间约束。</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69表、170条外键及实际触发器可核对；追加迁移和直接数据库反例。</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B1.4 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完善网站选约、自助改期、结果查询及人工协助。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本人授权；窄屏键盘可操作；重复提交和改期失败保持原事实。</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B1.5 小程序渠道</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共享预约库存与规则，接入患者身份。</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独立身份验证和渠道测试；网站与小程序不产生重复预约。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系统运行的独立公网、长期稳定性及更大规模验证仍需后续完成。真实支付、保险、跨币种会计和临床自动判断不属于本报告所承诺的功能。后续开发以本章业务顺序和场景完成条件为依据。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已完成 → {取消改进、电话接待、资源协同、前台排班与数据库关系} → 网站自助改期 → 小程序 → 连续诊疗；按场景评价成效。</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15至240分钟、15分钟步长，整段占用；网站及候补未来十四天，前台按已发布排班。患者自助改期仍由SU-40作为后续范围。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本附录补充SU-39—58。电话接待、多资源核对及资源目录规约说明现有业务；患者自助改期仍待实现。取消分析、财务与设备的原规则继续保留。每项的实现状态及验收目标分别列明。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本人绑定患者；希望调整未开始预约。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待实现：现有改期由前台办理。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本人有效且未开始的可改预约；替代时段允许接收。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原预约、替代时段、原因、确认。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1）读取本人预约及当前状态。</w:t>
              <w:br/>
              <w:t>2）查询允许替代，并展示原新诊所、医师和起止时间。</w:t>
              <w:br/>
              <w:t>3）患者明确确认。</w:t>
              <w:br/>
              <w:t>4）重新核对授权及原新资源，以同一事务建立后继、保留原记录。</w:t>
              <w:br/>
              <w:t>5）返回原新关系和唯一改期结果。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目标冲突或撤权：失败，原预约继续有效。</w:t>
              <w:br/>
              <w:t>原预约已到诊或取消：拒绝。</w:t>
              <w:br/>
              <w:t>重复成功确认：返回已有后继，不再释放或新建。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一条有效后继预约，原约作为改期前身保留。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失败不丢失原约，不擅自跨店或换医师。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不等于原约取消后重新碰运气；资金不随改期自动变化。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AT-B40-1：两患者同时改入一个时段仅一人成功。</w:t>
              <w:br/>
              <w:t>AT-B40-2：冲突、旧页面、越权及重复确认保留正确原新关系。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系统分析与设计课程报告</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