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2026年10月25日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 连续诊疗进一步区分方案讨论、本人决定、实际执行和后续目标；复诊责任与加工件验收各有明确岗位及完成依据，避免把预约、联系或物理返回当成实际完成。 患者可以先按城市或主动定位查找门店，核对地址、电话、营业时间与服务后再登录；公开信息、账号通道及具体就诊人授权分别管理，保持预约与诊疗历史连续。 患者账号、联络号码与就诊人档案分别管理，通过本人申请和门店前台独立核验建立关联；账号登录与具体业务授权分开，保持暂停及恢复的历史。 医保资料以地区目录版本、门店模拟安排、收费项目适配和患者待遇历史分别核对，原始来源、独立复核及未知项目保留；资料准备与实际资金结算分开。 医保结算从实际收费形成唯一模拟请求，经独立分担复核后分别核对患者现金、个人账户承担和基金应收；银行到账、逐笔分配、差额责任与原结算撤销保留完整依据。 患者端增加微信小程序登录、网站扫码确认和短信核验的统一账号流程，保留独立本人建档与代约授权；账号认证不直接授予病历或员工权限。</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appointments, clinical care, shared resources and financial review across multiple clinics. This study analyzes a dental chain of approximately five to twenty clinics. Patients discover services before signing in through a shared account. Telephone reception, the website and the native WeChat client reuse booking and resource rules. Patient relationships and chart access are verified separately from authentication.</w:t>
      </w:r>
    </w:p>
    <w:p>
      <w:pPr>
        <w:spacing w:after="0"/>
      </w:pPr>
      <w:r>
        <w:rPr>
          <w:rFonts w:ascii="Liberation Serif" w:hAnsi="Liberation Serif" w:eastAsia="Noto Serif CJK SC"/>
          <w:b w:val="0"/>
          <w:color w:val="000000"/>
          <w:sz w:val="24"/>
          <w:lang w:val="en-US" w:eastAsia="en-US"/>
          <w:lang w:val="en-US" w:eastAsia="en-US"/>
        </w:rPr>
        <w:t>The analysis connects observable business problems to actor responsibilities, use cases, state transitions, database relations and acceptance conditions. The design follows information hiding and uses a modular monolith. It retains treatment versions, actual performed procedures, appointment promises, independent financial decisions, payment evidence and reconciliation history. Maintenance and follow-up responsibilities remain explicit without fabricating clinical completion or financial facts.</w:t>
      </w:r>
    </w:p>
    <w:p>
      <w:pPr>
        <w:spacing w:after="0"/>
      </w:pPr>
      <w:r>
        <w:rPr>
          <w:rFonts w:ascii="Liberation Serif" w:hAnsi="Liberation Serif" w:eastAsia="Noto Serif CJK SC"/>
          <w:b w:val="0"/>
          <w:color w:val="000000"/>
          <w:sz w:val="24"/>
          <w:lang w:val="en-US" w:eastAsia="en-US"/>
          <w:lang w:val="en-US" w:eastAsia="en-US"/>
        </w:rPr>
        <w:t>An implemented synthetic system supports workflow, authorization, concurrency, browser and recovery evaluation. WeChat identity exchange, website scan approval and provider-verified phone challenges have separate real-platform acceptance requirements. The results establish tested system behavior within the observed scope; they do not establish professional qualification, clinical effectiveness or independent commercial operation.</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74</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75</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75</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77</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83</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91</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91</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94</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94</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95</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95</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96</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96</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96</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97</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98</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100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117</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134</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spacing w:after="120"/>
        <w:ind w:firstLine="0"/>
      </w:pPr>
      <w:r>
        <w:rPr>
          <w:rFonts w:ascii="Liberation Serif" w:hAnsi="Liberation Serif" w:eastAsia="Noto Serif CJK SC"/>
          <w:b w:val="0"/>
          <w:color w:val="000000"/>
          <w:sz w:val="21"/>
          <w:lang w:val="en-US" w:eastAsia="en-US"/>
        </w:rPr>
        <w:t>思维导图  实际患者问题 → {找店、账号联络、本人及关系核验、接待排班、检查方案、复诊加工、资金设备} → 岗位和可观察规则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业务责任分成二十七个真实关系视图。独立PostgreSQL实际核对131张表，含130张ORM业务与框架表及1张迁移日志；355条普通外键及1条账单复合外键共356条。新增网站扫码票据，扩展短信平台挑战引用，原患者、诊疗和财务模型不改动。字段、类型、可空性和主外键均与实际结构核对，103个业务触发器保留。</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5" name="Picture 75"/>
            <wp:cNvGraphicFramePr>
              <a:graphicFrameLocks noChangeAspect="1"/>
            </wp:cNvGraphicFramePr>
            <a:graphic>
              <a:graphicData uri="http://schemas.openxmlformats.org/drawingml/2006/picture">
                <pic:pic>
                  <pic:nvPicPr>
                    <pic:cNvPr id="0" name="clinical_record_state.png"/>
                    <pic:cNvPicPr/>
                  </pic:nvPicPr>
                  <pic:blipFill>
                    <a:blip r:embed="rId102"/>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76" name="Picture 76"/>
            <wp:cNvGraphicFramePr>
              <a:graphicFrameLocks noChangeAspect="1"/>
            </wp:cNvGraphicFramePr>
            <a:graphic>
              <a:graphicData uri="http://schemas.openxmlformats.org/drawingml/2006/picture">
                <pic:pic>
                  <pic:nvPicPr>
                    <pic:cNvPr id="0" name="domain_continuity.png"/>
                    <pic:cNvPicPr/>
                  </pic:nvPicPr>
                  <pic:blipFill>
                    <a:blip r:embed="rId103"/>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77" name="Picture 77"/>
            <wp:cNvGraphicFramePr>
              <a:graphicFrameLocks noChangeAspect="1"/>
            </wp:cNvGraphicFramePr>
            <a:graphic>
              <a:graphicData uri="http://schemas.openxmlformats.org/drawingml/2006/picture">
                <pic:pic>
                  <pic:nvPicPr>
                    <pic:cNvPr id="0" name="recall_state_print.png"/>
                    <pic:cNvPicPr/>
                  </pic:nvPicPr>
                  <pic:blipFill>
                    <a:blip r:embed="rId104"/>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78" name="Picture 78"/>
            <wp:cNvGraphicFramePr>
              <a:graphicFrameLocks noChangeAspect="1"/>
            </wp:cNvGraphicFramePr>
            <a:graphic>
              <a:graphicData uri="http://schemas.openxmlformats.org/drawingml/2006/picture">
                <pic:pic>
                  <pic:nvPicPr>
                    <pic:cNvPr id="0" name="lab_state_print.png"/>
                    <pic:cNvPicPr/>
                  </pic:nvPicPr>
                  <pic:blipFill>
                    <a:blip r:embed="rId105"/>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79" name="Picture 79"/>
            <wp:cNvGraphicFramePr>
              <a:graphicFrameLocks noChangeAspect="1"/>
            </wp:cNvGraphicFramePr>
            <a:graphic>
              <a:graphicData uri="http://schemas.openxmlformats.org/drawingml/2006/picture">
                <pic:pic>
                  <pic:nvPicPr>
                    <pic:cNvPr id="0" name="wechat_web_login_state.png"/>
                    <pic:cNvPicPr/>
                  </pic:nvPicPr>
                  <pic:blipFill>
                    <a:blip r:embed="rId106"/>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spacing w:after="120"/>
        <w:ind w:firstLine="0"/>
      </w:pPr>
      <w:r>
        <w:rPr>
          <w:rFonts w:ascii="Liberation Serif" w:hAnsi="Liberation Serif" w:eastAsia="Noto Serif CJK SC"/>
          <w:b w:val="0"/>
          <w:color w:val="000000"/>
          <w:sz w:val="21"/>
          <w:lang w:val="en-US" w:eastAsia="en-US"/>
        </w:rPr>
        <w:t>思维导图  模块责任 → {患者与接待、资源与临床、原费用与资金、微信身份与浏览器票据} → 实际主外键及状态守卫 → 追加历史与独立核对 → 可验证的不变量。</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80" name="Picture 80"/>
            <wp:cNvGraphicFramePr>
              <a:graphicFrameLocks noChangeAspect="1"/>
            </wp:cNvGraphicFramePr>
            <a:graphic>
              <a:graphicData uri="http://schemas.openxmlformats.org/drawingml/2006/picture">
                <pic:pic>
                  <pic:nvPicPr>
                    <pic:cNvPr id="0" name="finance-form-ux2.png"/>
                    <pic:cNvPicPr/>
                  </pic:nvPicPr>
                  <pic:blipFill>
                    <a:blip r:embed="rId107"/>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真实验收须由两名授权微信用户完成登录和手机扫码确认、拒绝；两部授权手机须实际收到并核验验证码。配套平台条件尚未完成，真实微信、真机扫码和实际短信均记为未完成，整轮目标不标全通过。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登录、网站扫码确认和短信核验已形成统一账号设计及实现，真实平台联调仍须配套应用配置和零费用短信条件。普通微信登录不提供居民身份证；医保真实结算须取得具体机构资质、地区规则和接口条件，不能由模拟资金或目录分类推断。</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或明确本地替身账号及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本附录补充SU-39—101，覆盖电话接待、统一资源、取消改进、财务设备、患者关系、专业协作、连续诊疗及微信账号协同。每项分别列明岗位、输入、正常与异常路径、最低保证及验收目标。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多渠道预约与微信账号协同</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