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2026年10月24日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连锁牙科诊所的预约、接诊、治疗、结算和设备使用具有连续性，任何环节的信息脱节都可能造成重复预约、患者等待、费用争议或服务中断。本文以Andrew’s Dental Chain（ADC）课程案例为背景，面向一家约5至20家诊所的连锁机构，分析七类岗位的业务责任与交接关系。</w:t>
      </w:r>
    </w:p>
    <w:p>
      <w:pPr>
        <w:spacing w:after="0"/>
      </w:pPr>
      <w:r>
        <w:rPr>
          <w:rFonts w:ascii="Liberation Serif" w:hAnsi="Liberation Serif" w:eastAsia="Noto Serif CJK SC"/>
          <w:b w:val="0"/>
          <w:color w:val="000000"/>
          <w:sz w:val="24"/>
          <w:lang w:val="en-US" w:eastAsia="en-US"/>
        </w:rPr>
        <w:t>系统以患者服务过程为主线，区分电话咨询、完整患者建档、候选协商、明确确认和正式预约。网站与原生微信小程序从门店明确发布的服务出发，说明接诊范围、费用和到诊准备，再共用患者预约服务；本人或经核验的代约人选择就诊人后明确确认改期，保留原承诺与候补接受历史。科室开放、服务时长、医师出诊、椅位及必要设备统一核验；设备故障保留原承诺并进入责任协调。实际治疗、版本化账单、收退款、资金凭据、渠道对账和独立审核共同构成诊疗与财务闭环，取消分析进一步支持原因核实及改进措施复核。</w:t>
      </w:r>
    </w:p>
    <w:p>
      <w:pPr>
        <w:spacing w:after="0"/>
      </w:pPr>
      <w:r>
        <w:rPr>
          <w:rFonts w:ascii="Liberation Serif" w:hAnsi="Liberation Serif" w:eastAsia="Noto Serif CJK SC"/>
          <w:b w:val="0"/>
          <w:color w:val="000000"/>
          <w:sz w:val="24"/>
          <w:lang w:val="en-US" w:eastAsia="en-US"/>
        </w:rPr>
        <w:t>研究采用用例驱动、领域关系和状态模型表达业务规则，以模块化结构、事务约束及追加式历史保持结果可追溯。课程合成场景覆盖跨岗位办理、资源竞争、授权隔离和数据恢复；统计指标说明分母与资料完整性。合成验证用于检验系统规则，不预设真实取消率下降或商业运营成效。</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Dental-chain operations connect appointment intake, clinical care, billing and equipment availability. This report studies ADC as one chain of approximately five to twenty clinics and defines the responsibilities and handoffs of seven roles.</w:t>
      </w:r>
    </w:p>
    <w:p>
      <w:pPr>
        <w:spacing w:after="0"/>
      </w:pPr>
      <w:r>
        <w:rPr>
          <w:rFonts w:ascii="Liberation Serif" w:hAnsi="Liberation Serif" w:eastAsia="Noto Serif CJK SC"/>
          <w:b w:val="0"/>
          <w:color w:val="000000"/>
          <w:sz w:val="24"/>
          <w:lang w:val="en-US" w:eastAsia="en-US"/>
          <w:lang w:val="en-US" w:eastAsia="en-US"/>
        </w:rPr>
        <w:t>Telephone consultation, complete patient registration, candidate negotiation, explicit consent and formal booking remain distinct. The website and native WeChat mini-program share patient booking services. Patients explicitly confirm replacements while original promises and accepted-offer history remain traceable. All booking channels check department hours, service duration, providers, chairs and required equipment. Equipment faults preserve existing promises and open accountable coordination. Actual treatment, versioned bills, independently reviewed cash entries and transaction reconciliation support traceable clinical and financial workflows. Published clinic offerings distinguish unknown fees from confirmed prices and continue into the same authorized booking workflow in both patient channels.</w:t>
      </w:r>
    </w:p>
    <w:p>
      <w:pPr>
        <w:spacing w:after="0"/>
      </w:pPr>
      <w:r>
        <w:rPr>
          <w:rFonts w:ascii="Liberation Serif" w:hAnsi="Liberation Serif" w:eastAsia="Noto Serif CJK SC"/>
          <w:b w:val="0"/>
          <w:color w:val="000000"/>
          <w:sz w:val="24"/>
          <w:lang w:val="en-US" w:eastAsia="en-US"/>
          <w:lang w:val="en-US" w:eastAsia="en-US"/>
        </w:rPr>
        <w:t>Use cases, domain relationships and lifecycle models specify observable outcomes and exceptions. Synthetic scenarios examine cross-role workflows, resource contention, authorization and recovery. Cancellation measures retain denominators and incomplete results. These findings validate course-system rules and do not establish commercial-scale capacity or real-world improvement.</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35</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36</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37</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55</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55</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56</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56</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59</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59</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60</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61</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62</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64</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65</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65</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66</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66</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68</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68</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68</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69</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70</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72</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89</w:t>
      </w:r>
    </w:p>
    <w:p>
      <w:pPr>
        <w:spacing w:line="320" w:lineRule="exact" w:after="0"/>
        <w:ind w:firstLine="0" w:left="0"/>
        <w:tabs>
          <w:tab w:val="right" w:leader="dot" w:pos="9070"/>
        </w:tabs>
      </w:pPr>
      <w:r>
        <w:rPr>
          <w:rFonts w:ascii="Liberation Serif" w:hAnsi="Liberation Serif" w:eastAsia="Noto Serif CJK SC"/>
          <w:b/>
          <w:color w:val="000000"/>
          <w:sz w:val="21"/>
        </w:rPr>
        <w:t>附录C 预约完善 财务与设备用例规约</w:t>
        <w:tab/>
        <w:t>106</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71项编号业务用例和1项共享核验。附录A为SU-01—25及SF-01，附录B为SU-26—38，附录C为SU-39—71。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公开自注册、微信身份自动绑定及微信支付不在当前范围。</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spacing w:after="120"/>
        <w:ind w:firstLine="0"/>
      </w:pPr>
      <w:r>
        <w:rPr>
          <w:rFonts w:ascii="Liberation Serif" w:hAnsi="Liberation Serif" w:eastAsia="Noto Serif CJK SC"/>
          <w:b w:val="0"/>
          <w:color w:val="000000"/>
          <w:sz w:val="21"/>
          <w:lang w:val="en-US" w:eastAsia="en-US"/>
        </w:rPr>
        <w:t>思维导图  预约需求 → {电话接待、完整建档、网站选约、关系授权、患者改期、候补替换} → 明确同意 → 统一资源核验 → {唯一成约、失败保留、取消跟进}。</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按真实关系分为预约接待、服务适配、资源占用、诊疗资金、排班协调、患者改期、关系授权、专业范围、限定转诊、健康自述及实际检查十一个视图。实测86张表、224条普通外键及1条账单复合外键，包含框架与连接表。检查的患者、诊所经就诊推导；敏感查阅的类型化对象编号不伪装成外键。</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59" name="Picture 59"/>
            <wp:cNvGraphicFramePr>
              <a:graphicFrameLocks noChangeAspect="1"/>
            </wp:cNvGraphicFramePr>
            <a:graphic>
              <a:graphicData uri="http://schemas.openxmlformats.org/drawingml/2006/picture">
                <pic:pic>
                  <pic:nvPicPr>
                    <pic:cNvPr id="0" name="clinical_record_state.png"/>
                    <pic:cNvPicPr/>
                  </pic:nvPicPr>
                  <pic:blipFill>
                    <a:blip r:embed="rId86"/>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spacing w:after="120"/>
        <w:ind w:firstLine="0"/>
      </w:pPr>
      <w:r>
        <w:rPr>
          <w:rFonts w:ascii="Liberation Serif" w:hAnsi="Liberation Serif" w:eastAsia="Noto Serif CJK SC"/>
          <w:b w:val="0"/>
          <w:color w:val="000000"/>
          <w:sz w:val="21"/>
          <w:lang w:val="en-US" w:eastAsia="en-US"/>
        </w:rPr>
        <w:t>思维导图  模块职责 → {关系与专业范围、接待排班、健康自述、实际检查、资金设备} → 真实主外键 → {来源分离、草稿与确认版本、限定转诊} → 状态、动作、时效及岗位核验。</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本人绑定或本店有效代约；不开放自注册。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60" name="Picture 60"/>
            <wp:cNvGraphicFramePr>
              <a:graphicFrameLocks noChangeAspect="1"/>
            </wp:cNvGraphicFramePr>
            <a:graphic>
              <a:graphicData uri="http://schemas.openxmlformats.org/drawingml/2006/picture">
                <pic:pic>
                  <pic:nvPicPr>
                    <pic:cNvPr id="0" name="finance-form-ux2.png"/>
                    <pic:cNvPicPr/>
                  </pic:nvPicPr>
                  <pic:blipFill>
                    <a:blip r:embed="rId87"/>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真实临床使用仍须由合格专业人员审定牙科记录术语、模板和诊疗范围，并完成电子签名、归档及相关制度。小程序离线编译与页面处理器验证不代表微信实际运行；真实平台、云环境及持续运行另行验收。</w:t>
      </w:r>
    </w:p>
    <w:p>
      <w:pPr>
        <w:spacing w:after="120"/>
        <w:ind w:firstLine="0"/>
      </w:pPr>
      <w:r>
        <w:rPr>
          <w:rFonts w:ascii="Liberation Serif" w:hAnsi="Liberation Serif" w:eastAsia="Noto Serif CJK SC"/>
          <w:b w:val="0"/>
          <w:color w:val="000000"/>
          <w:sz w:val="21"/>
          <w:lang w:val="en-US" w:eastAsia="en-US"/>
        </w:rPr>
        <w:t>思维导图  业务实现 → {五店跨岗位、患者改期、候补与取消、接诊结算} → {规则、真实数据库、并发、浏览器、负载、独立恢复} → 事实可复核与范围说明。</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接诊结算及资金设备协同。后续面向单一连锁独立部署，先确认真实机构政策和专业责任，再依次补齐连续诊疗、临床签署归档、处方药事和材料执行；预约或账单记录不能替代完整临床系统。</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连续诊疗</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结构化检查、牙位牙面、多次就诊计划与复诊责任。</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由专业人员核对服务适用字段；计划、实际执行及计费分别保留。</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演示继续使用分配账号和合成资料。云端访问和微信平台试用需在实际环境独立验收；本地接口联调不表示已在微信发布或已部署云端。真实临床替代还须由具有相应资质的人员完成业务、专业和合规确认，本报告不将规划功能列为已实现。</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预约完善 财务与设备用例规约</w:t>
      </w:r>
    </w:p>
    <w:p>
      <w:pPr>
        <w:spacing w:after="0"/>
      </w:pPr>
      <w:r>
        <w:rPr>
          <w:rFonts w:ascii="Liberation Serif" w:hAnsi="Liberation Serif" w:eastAsia="Noto Serif CJK SC"/>
          <w:b w:val="0"/>
          <w:color w:val="000000"/>
          <w:sz w:val="21"/>
          <w:lang w:val="en-US" w:eastAsia="en-US"/>
        </w:rPr>
        <w:t>本附录补充SU-39—71。电话接待、多资源核对、患者自助改期及资源目录规约说明现有业务。取消分析、财务与设备的原规则继续保留；每项实现范围与验收目标分别列明。</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患者健康自述与结构化检查记录</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