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2026年10月23日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50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55</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57</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57</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60</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61</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63</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80</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63项编号业务用例和1项共享核验。附录A为SU-01—25及SF-01，附录B为SU-26—38，附录C为SU-39—63。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{电话接待、完整建档、网站选约、关系授权、患者改期、候补替换}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实际关系表和外键分为预约接待、服务适配、资源占用、诊疗资金、排班协调、患者改期及关系授权七个视图。实测共73张表，包含框架及连接表；180条普通关系与1条账单复合外键均可核对。患者网站和小程序复用同一预约、授权与资源结构，代约不另建重复临床或资金实体。</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spacing w:after="120"/>
        <w:ind w:firstLine="0"/>
      </w:pPr>
      <w:r>
        <w:rPr>
          <w:rFonts w:ascii="Liberation Serif" w:hAnsi="Liberation Serif" w:eastAsia="Noto Serif CJK SC"/>
          <w:b w:val="0"/>
          <w:color w:val="000000"/>
          <w:sz w:val="21"/>
          <w:lang w:val="en-US" w:eastAsia="en-US"/>
        </w:rPr>
        <w:t>思维导图  模块职责 → {患者关系与预约授权、接待、排班、临床、资金、设备} → 实际主外键与唯一关系 → {当前就诊人、办理回执、资源方案、追加历史} → 状态、有效期及权限分别核验。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5" name="Picture 55"/>
            <wp:cNvGraphicFramePr>
              <a:graphicFrameLocks noChangeAspect="1"/>
            </wp:cNvGraphicFramePr>
            <a:graphic>
              <a:graphicData uri="http://schemas.openxmlformats.org/drawingml/2006/picture">
                <pic:pic>
                  <pic:nvPicPr>
                    <pic:cNvPr id="0" name="finance-form-ux2.png"/>
                    <pic:cNvPicPr/>
                  </pic:nvPicPr>
                  <pic:blipFill>
                    <a:blip r:embed="rId82"/>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当前结构触发器数量为43项。</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多渠道预约、前台排班、接诊结算及资金设备协同。后续面向单一连锁的独立部署，依次补齐身份与专业权限、连续诊疗、临床签署归档、处方药事和材料执行；不能以预约或账单记录替代完整临床系统。</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结构化检查、牙位牙面、多次就诊计划与复诊责任。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由专业人员核对服务适用字段；计划、实际执行及计费分别保留。</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本附录补充SU-39—63。电话接待、多资源核对、患者自助改期及资源目录规约说明现有业务。取消分析、财务与设备的原规则继续保留；每项实现范围与验收目标分别列明。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C1.1 患者关系与预约代办</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