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DEF65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收益率曲线管理与建模分析平台 — 产品功能框架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283077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5FA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部分内容由豆包生成</w:t>
            </w:r>
          </w:p>
        </w:tc>
      </w:tr>
    </w:tbl>
    <w:p w14:paraId="34715759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color w:val="3370FF"/>
          <w:sz w:val="36"/>
        </w:rPr>
        <w:t xml:space="preserve">1. </w:t>
      </w:r>
      <w:r>
        <w:rPr>
          <w:rFonts w:ascii="Arial" w:hAnsi="Arial" w:eastAsia="等线" w:cs="Arial"/>
          <w:b/>
          <w:sz w:val="36"/>
        </w:rPr>
        <w:t>产品概述</w:t>
      </w:r>
      <w:bookmarkEnd w:id="0"/>
    </w:p>
    <w:p w14:paraId="39FAB08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color w:val="3370FF"/>
          <w:sz w:val="32"/>
        </w:rPr>
        <w:t xml:space="preserve">1.1 </w:t>
      </w:r>
      <w:r>
        <w:rPr>
          <w:rFonts w:ascii="Arial" w:hAnsi="Arial" w:eastAsia="等线" w:cs="Arial"/>
          <w:b/>
          <w:sz w:val="32"/>
        </w:rPr>
        <w:t>背景与用户问题</w:t>
      </w:r>
      <w:bookmarkEnd w:id="1"/>
    </w:p>
    <w:p w14:paraId="4B3526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银行在资产负债管理（ALM）、FTP定价、债券估值、利率风险管理等业务中，高度依赖各类收益率曲线作为定价基准和折现依据。当前面临以下核心问题：</w:t>
      </w:r>
    </w:p>
    <w:p w14:paraId="51369DB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数据来源分散</w:t>
      </w:r>
      <w:r>
        <w:rPr>
          <w:rFonts w:ascii="Arial" w:hAnsi="Arial" w:eastAsia="等线" w:cs="Arial"/>
          <w:sz w:val="22"/>
        </w:rPr>
        <w:t>：中债登、外汇交易中心、Wind等多渠道数据格式不统一，采集与维护成本高。</w:t>
      </w:r>
    </w:p>
    <w:p w14:paraId="08AB2C0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曲线构建黑盒</w:t>
      </w:r>
      <w:r>
        <w:rPr>
          <w:rFonts w:ascii="Arial" w:hAnsi="Arial" w:eastAsia="等线" w:cs="Arial"/>
          <w:sz w:val="22"/>
        </w:rPr>
        <w:t>：曲线拼接、平滑、拟合逻辑散落在各业务系统中，不可配置、不可追溯、难以复用。</w:t>
      </w:r>
    </w:p>
    <w:p w14:paraId="16AD039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分析能力薄弱</w:t>
      </w:r>
      <w:r>
        <w:rPr>
          <w:rFonts w:ascii="Arial" w:hAnsi="Arial" w:eastAsia="等线" w:cs="Arial"/>
          <w:sz w:val="22"/>
        </w:rPr>
        <w:t>：缺乏对曲线走势、形态演变、敏感度的系统化建模分析能力，难以支撑利率风险计量和定价决策。</w:t>
      </w:r>
    </w:p>
    <w:p w14:paraId="22DBF4A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版本管理缺失</w:t>
      </w:r>
      <w:r>
        <w:rPr>
          <w:rFonts w:ascii="Arial" w:hAnsi="Arial" w:eastAsia="等线" w:cs="Arial"/>
          <w:sz w:val="22"/>
        </w:rPr>
        <w:t>：曲线数据缺乏版本控制和血缘追踪，业务调整无法回溯，监管审计困难。</w:t>
      </w:r>
    </w:p>
    <w:p w14:paraId="3220A923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color w:val="3370FF"/>
          <w:sz w:val="32"/>
        </w:rPr>
        <w:t xml:space="preserve">1.2 </w:t>
      </w:r>
      <w:r>
        <w:rPr>
          <w:rFonts w:ascii="Arial" w:hAnsi="Arial" w:eastAsia="等线" w:cs="Arial"/>
          <w:b/>
          <w:sz w:val="32"/>
        </w:rPr>
        <w:t>产品目标</w:t>
      </w:r>
      <w:bookmarkEnd w:id="2"/>
    </w:p>
    <w:p w14:paraId="10373A1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构建统一的收益率曲线数据底座，实现多源数据标准化采集与集中存储。</w:t>
      </w:r>
    </w:p>
    <w:p w14:paraId="3262F61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提供可配置、可追溯的曲线构建引擎，支持曲线拼接、平滑、拟合、插值等重构操作。</w:t>
      </w:r>
    </w:p>
    <w:p w14:paraId="094603BC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建立曲线趋势与敏感度建模分析能力，支撑利率风险计量、情景模拟和压力测试。</w:t>
      </w:r>
    </w:p>
    <w:p w14:paraId="6001D11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开放标准接口，为行内FTP、估值、ALM、风控等系统提供曲线服务。</w:t>
      </w:r>
    </w:p>
    <w:p w14:paraId="55B85805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color w:val="3370FF"/>
          <w:sz w:val="32"/>
        </w:rPr>
        <w:t xml:space="preserve">1.3 </w:t>
      </w:r>
      <w:r>
        <w:rPr>
          <w:rFonts w:ascii="Arial" w:hAnsi="Arial" w:eastAsia="等线" w:cs="Arial"/>
          <w:b/>
          <w:sz w:val="32"/>
        </w:rPr>
        <w:t>目标用户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0"/>
        <w:gridCol w:w="6360"/>
      </w:tblGrid>
      <w:tr w14:paraId="3220EA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8EC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用户角色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8B1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核心诉求</w:t>
            </w:r>
          </w:p>
        </w:tc>
      </w:tr>
      <w:tr w14:paraId="2D8CA7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52F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资负管理岗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A77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曲线查询、走势分析、利率敏感度计量、情景模拟</w:t>
            </w:r>
          </w:p>
        </w:tc>
      </w:tr>
      <w:tr w14:paraId="2F3825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620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FTP定价岗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07E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曲线构建与调整、定价基准生成、利差分析</w:t>
            </w:r>
          </w:p>
        </w:tc>
      </w:tr>
      <w:tr w14:paraId="4D038C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A9A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估值核算岗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D98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折现曲线获取、远期曲线计算、估值结果追溯</w:t>
            </w:r>
          </w:p>
        </w:tc>
      </w:tr>
      <w:tr w14:paraId="4E463B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FDE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风险管理岗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DC4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压力测试、IRRBB计量、监管报表生成</w:t>
            </w:r>
          </w:p>
        </w:tc>
      </w:tr>
      <w:tr w14:paraId="360DF4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674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系统管理员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2B4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数据源配置、曲线定义管理、权限控制、任务调度</w:t>
            </w:r>
          </w:p>
        </w:tc>
      </w:tr>
    </w:tbl>
    <w:p w14:paraId="316C8B27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color w:val="3370FF"/>
          <w:sz w:val="36"/>
        </w:rPr>
        <w:t xml:space="preserve">2. </w:t>
      </w:r>
      <w:r>
        <w:rPr>
          <w:rFonts w:ascii="Arial" w:hAnsi="Arial" w:eastAsia="等线" w:cs="Arial"/>
          <w:b/>
          <w:sz w:val="36"/>
        </w:rPr>
        <w:t>范围与非目标</w:t>
      </w:r>
      <w:bookmarkEnd w:id="4"/>
    </w:p>
    <w:p w14:paraId="6293C217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color w:val="3370FF"/>
          <w:sz w:val="32"/>
        </w:rPr>
        <w:t xml:space="preserve">2.1 </w:t>
      </w:r>
      <w:r>
        <w:rPr>
          <w:rFonts w:ascii="Arial" w:hAnsi="Arial" w:eastAsia="等线" w:cs="Arial"/>
          <w:b/>
          <w:sz w:val="32"/>
        </w:rPr>
        <w:t>本期范围</w:t>
      </w:r>
      <w:bookmarkEnd w:id="5"/>
    </w:p>
    <w:p w14:paraId="5BCC2C9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外部收益率曲线数据采集（中债登、外汇交易中心等）与手动录入。</w:t>
      </w:r>
    </w:p>
    <w:p w14:paraId="01636659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曲线定义配置与利率数据标准化存储、版本管理。</w:t>
      </w:r>
    </w:p>
    <w:p w14:paraId="34E6885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曲线构建引擎：拼接、插值、平滑、拟合（Nelson-Siegel/Svensson等）。</w:t>
      </w:r>
    </w:p>
    <w:p w14:paraId="09FA9B9B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曲线分析：走势分析、形态指标、利差分析、关键利率久期、情景模拟。</w:t>
      </w:r>
    </w:p>
    <w:p w14:paraId="5740AF6A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标准API接口输出，供下游系统调用。</w:t>
      </w:r>
    </w:p>
    <w:p w14:paraId="226FC461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color w:val="3370FF"/>
          <w:sz w:val="32"/>
        </w:rPr>
        <w:t xml:space="preserve">2.2 </w:t>
      </w:r>
      <w:r>
        <w:rPr>
          <w:rFonts w:ascii="Arial" w:hAnsi="Arial" w:eastAsia="等线" w:cs="Arial"/>
          <w:b/>
          <w:sz w:val="32"/>
        </w:rPr>
        <w:t>非目标</w:t>
      </w:r>
      <w:bookmarkEnd w:id="6"/>
    </w:p>
    <w:p w14:paraId="1CAA240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不做交易执行和订单管理。</w:t>
      </w:r>
    </w:p>
    <w:p w14:paraId="09D266A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不做完整的ALM系统功能（如现金流引擎、资产负债匹配优化），仅提供曲线服务和分析能力。</w:t>
      </w:r>
    </w:p>
    <w:p w14:paraId="1955E49B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不做信用评级和违约概率建模。</w:t>
      </w:r>
    </w:p>
    <w:p w14:paraId="2BE26AED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一期不包含机器学习利率预测，作为三期规划。</w:t>
      </w:r>
    </w:p>
    <w:p w14:paraId="4C95D388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color w:val="3370FF"/>
          <w:sz w:val="36"/>
        </w:rPr>
        <w:t xml:space="preserve">3. </w:t>
      </w:r>
      <w:r>
        <w:rPr>
          <w:rFonts w:ascii="Arial" w:hAnsi="Arial" w:eastAsia="等线" w:cs="Arial"/>
          <w:b/>
          <w:sz w:val="36"/>
        </w:rPr>
        <w:t>整体功能架构</w:t>
      </w:r>
      <w:bookmarkEnd w:id="7"/>
    </w:p>
    <w:p w14:paraId="194EEF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平台采用五层架构设计，自下而上分别为数据采集层、数据管理层、曲线构建层、分析建模层和业务应用层。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5"/>
        <w:gridCol w:w="2715"/>
        <w:gridCol w:w="3780"/>
      </w:tblGrid>
      <w:tr w14:paraId="6ECCDA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05A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层级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370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核心能力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1F7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关键模块</w:t>
            </w:r>
          </w:p>
        </w:tc>
      </w:tr>
      <w:tr w14:paraId="6BCBC8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BEE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L5 业务应用层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2D1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面向业务场景的曲线应用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676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FTP定价、估值核算、ALM分析、风险计量、监管报送</w:t>
            </w:r>
          </w:p>
        </w:tc>
      </w:tr>
      <w:tr w14:paraId="365E1A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4DE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L4 分析建模层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95E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曲线趋势与风险建模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6BE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走势分析、敏感度分析、情景模拟、压力测试、回溯测试</w:t>
            </w:r>
          </w:p>
        </w:tc>
      </w:tr>
      <w:tr w14:paraId="121A14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BFE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L3 曲线构建层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154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曲线重构与拟合引擎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467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拼接、插值、平滑、拟合、关键期限点提取</w:t>
            </w:r>
          </w:p>
        </w:tc>
      </w:tr>
      <w:tr w14:paraId="158BE9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B1D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L2 数据管理层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5F8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曲线定义与数据治理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B1B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曲线定义、利率存储、版本管理、数据校验、血缘追踪</w:t>
            </w:r>
          </w:p>
        </w:tc>
      </w:tr>
      <w:tr w14:paraId="6612ED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AB7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L1 数据采集层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039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多源数据接入与清洗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4D5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外部数据源接入、采集调度、数据清洗、采集监控</w:t>
            </w:r>
          </w:p>
        </w:tc>
      </w:tr>
    </w:tbl>
    <w:p w14:paraId="5BAD4FEF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color w:val="3370FF"/>
          <w:sz w:val="36"/>
        </w:rPr>
        <w:t xml:space="preserve">4. </w:t>
      </w:r>
      <w:r>
        <w:rPr>
          <w:rFonts w:ascii="Arial" w:hAnsi="Arial" w:eastAsia="等线" w:cs="Arial"/>
          <w:b/>
          <w:sz w:val="36"/>
        </w:rPr>
        <w:t>功能需求详述</w:t>
      </w:r>
      <w:bookmarkEnd w:id="8"/>
    </w:p>
    <w:p w14:paraId="1333DD9A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color w:val="3370FF"/>
          <w:sz w:val="32"/>
        </w:rPr>
        <w:t xml:space="preserve">4.1 </w:t>
      </w:r>
      <w:r>
        <w:rPr>
          <w:rFonts w:ascii="Arial" w:hAnsi="Arial" w:eastAsia="等线" w:cs="Arial"/>
          <w:b/>
          <w:sz w:val="32"/>
        </w:rPr>
        <w:t>数据采集与接入层（L1）</w:t>
      </w:r>
      <w:bookmarkEnd w:id="9"/>
    </w:p>
    <w:p w14:paraId="61F32C1D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color w:val="3370FF"/>
          <w:sz w:val="30"/>
        </w:rPr>
        <w:t xml:space="preserve">4.1.1 </w:t>
      </w:r>
      <w:r>
        <w:rPr>
          <w:rFonts w:ascii="Arial" w:hAnsi="Arial" w:eastAsia="等线" w:cs="Arial"/>
          <w:b/>
          <w:sz w:val="30"/>
        </w:rPr>
        <w:t>外部数据源接入</w:t>
      </w:r>
      <w:bookmarkEnd w:id="10"/>
    </w:p>
    <w:p w14:paraId="0E764A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支持多种主流数据源的标准化接入：</w:t>
      </w:r>
    </w:p>
    <w:p w14:paraId="5C68D70C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中债登</w:t>
      </w:r>
      <w:r>
        <w:rPr>
          <w:rFonts w:ascii="Arial" w:hAnsi="Arial" w:eastAsia="等线" w:cs="Arial"/>
          <w:sz w:val="22"/>
        </w:rPr>
        <w:t>：国债收益率曲线、政策性金融债收益率曲线、中短期票据收益率曲线、企业债收益率曲线等。</w:t>
      </w:r>
    </w:p>
    <w:p w14:paraId="4A57D872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外汇交易中心</w:t>
      </w:r>
      <w:r>
        <w:rPr>
          <w:rFonts w:ascii="Arial" w:hAnsi="Arial" w:eastAsia="等线" w:cs="Arial"/>
          <w:sz w:val="22"/>
        </w:rPr>
        <w:t>：Shibor曲线、银行间质押式回购（Repo）利率曲线、同业存单收益率曲线。</w:t>
      </w:r>
    </w:p>
    <w:p w14:paraId="320A4951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第三方数据商</w:t>
      </w:r>
      <w:r>
        <w:rPr>
          <w:rFonts w:ascii="Arial" w:hAnsi="Arial" w:eastAsia="等线" w:cs="Arial"/>
          <w:sz w:val="22"/>
        </w:rPr>
        <w:t>：Wind、同花顺等。</w:t>
      </w:r>
    </w:p>
    <w:p w14:paraId="66D5E7CA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央行公布数据</w:t>
      </w:r>
      <w:r>
        <w:rPr>
          <w:rFonts w:ascii="Arial" w:hAnsi="Arial" w:eastAsia="等线" w:cs="Arial"/>
          <w:sz w:val="22"/>
        </w:rPr>
        <w:t>：贷款市场报价利率（LPR）、存款基准利率。</w:t>
      </w:r>
    </w:p>
    <w:p w14:paraId="4F57FB17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color w:val="3370FF"/>
          <w:sz w:val="30"/>
        </w:rPr>
        <w:t xml:space="preserve">4.1.2 </w:t>
      </w:r>
      <w:r>
        <w:rPr>
          <w:rFonts w:ascii="Arial" w:hAnsi="Arial" w:eastAsia="等线" w:cs="Arial"/>
          <w:b/>
          <w:sz w:val="30"/>
        </w:rPr>
        <w:t>采集方式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5"/>
        <w:gridCol w:w="3465"/>
        <w:gridCol w:w="3480"/>
      </w:tblGrid>
      <w:tr w14:paraId="6BC50E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603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采集方式</w:t>
            </w:r>
          </w:p>
        </w:tc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2B4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适用场景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C0D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61CD96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536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API接口拉取</w:t>
            </w:r>
          </w:p>
        </w:tc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338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中债登、Wind等提供标准接口的数据源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815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支持REST/SOAP，可配置请求参数和频率</w:t>
            </w:r>
          </w:p>
        </w:tc>
      </w:tr>
      <w:tr w14:paraId="3C8F08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D19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文件批量导入</w:t>
            </w:r>
          </w:p>
        </w:tc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32E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数据商提供文件下载的场景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F9C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支持Excel、XML、CSV格式，自动解析映射</w:t>
            </w:r>
          </w:p>
        </w:tc>
      </w:tr>
      <w:tr w14:paraId="3FE3C5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CC5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手动录入</w:t>
            </w:r>
          </w:p>
        </w:tc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DDA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特殊曲线或临时数据补录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3E4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提供批量导入模板和单条录入界面</w:t>
            </w:r>
          </w:p>
        </w:tc>
      </w:tr>
    </w:tbl>
    <w:p w14:paraId="3A571888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color w:val="3370FF"/>
          <w:sz w:val="30"/>
        </w:rPr>
        <w:t xml:space="preserve">4.1.3 </w:t>
      </w:r>
      <w:r>
        <w:rPr>
          <w:rFonts w:ascii="Arial" w:hAnsi="Arial" w:eastAsia="等线" w:cs="Arial"/>
          <w:b/>
          <w:sz w:val="30"/>
        </w:rPr>
        <w:t>采集调度与监控</w:t>
      </w:r>
      <w:bookmarkEnd w:id="12"/>
    </w:p>
    <w:p w14:paraId="23E82A6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支持定时任务配置（日终批量、实时增量），可按数据源设置不同采集频率。</w:t>
      </w:r>
    </w:p>
    <w:p w14:paraId="03128A2F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采集失败自动重试，超过阈值触发告警（邮件/短信/系统通知）。</w:t>
      </w:r>
    </w:p>
    <w:p w14:paraId="090CC51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采集监控看板：展示各数据源最新采集时间、状态、延迟、数据质量评分。</w:t>
      </w:r>
    </w:p>
    <w:p w14:paraId="0F14BF78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color w:val="3370FF"/>
          <w:sz w:val="30"/>
        </w:rPr>
        <w:t xml:space="preserve">4.1.4 </w:t>
      </w:r>
      <w:r>
        <w:rPr>
          <w:rFonts w:ascii="Arial" w:hAnsi="Arial" w:eastAsia="等线" w:cs="Arial"/>
          <w:b/>
          <w:sz w:val="30"/>
        </w:rPr>
        <w:t>数据清洗</w:t>
      </w:r>
      <w:bookmarkEnd w:id="13"/>
    </w:p>
    <w:p w14:paraId="5A373BC4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缺失值处理</w:t>
      </w:r>
      <w:r>
        <w:rPr>
          <w:rFonts w:ascii="Arial" w:hAnsi="Arial" w:eastAsia="等线" w:cs="Arial"/>
          <w:sz w:val="22"/>
        </w:rPr>
        <w:t>：识别缺失期限点，支持前值填充、插值填充、标记缺失。</w:t>
      </w:r>
    </w:p>
    <w:p w14:paraId="1DA3B62F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异常值检测</w:t>
      </w:r>
      <w:r>
        <w:rPr>
          <w:rFonts w:ascii="Arial" w:hAnsi="Arial" w:eastAsia="等线" w:cs="Arial"/>
          <w:sz w:val="22"/>
        </w:rPr>
        <w:t>：基于历史波动率和相邻期限点检测跳点、负值、倒挂等异常，支持自动标记和人工复核。</w:t>
      </w:r>
    </w:p>
    <w:p w14:paraId="086C5039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口径统一</w:t>
      </w:r>
      <w:r>
        <w:rPr>
          <w:rFonts w:ascii="Arial" w:hAnsi="Arial" w:eastAsia="等线" w:cs="Arial"/>
          <w:sz w:val="22"/>
        </w:rPr>
        <w:t>：年化转换、复利/单利转换、计息基准（ACT/365、30/360等）转换。</w:t>
      </w:r>
    </w:p>
    <w:p w14:paraId="1D80E77B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币种统一</w:t>
      </w:r>
      <w:r>
        <w:rPr>
          <w:rFonts w:ascii="Arial" w:hAnsi="Arial" w:eastAsia="等线" w:cs="Arial"/>
          <w:sz w:val="22"/>
        </w:rPr>
        <w:t>：支持多币种曲线，默认人民币。</w:t>
      </w:r>
    </w:p>
    <w:p w14:paraId="1CAD71BF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color w:val="3370FF"/>
          <w:sz w:val="32"/>
        </w:rPr>
        <w:t xml:space="preserve">4.2 </w:t>
      </w:r>
      <w:r>
        <w:rPr>
          <w:rFonts w:ascii="Arial" w:hAnsi="Arial" w:eastAsia="等线" w:cs="Arial"/>
          <w:b/>
          <w:sz w:val="32"/>
        </w:rPr>
        <w:t>曲线定义与数据管理层（L2）</w:t>
      </w:r>
      <w:bookmarkEnd w:id="14"/>
    </w:p>
    <w:p w14:paraId="1DE06E05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color w:val="3370FF"/>
          <w:sz w:val="30"/>
        </w:rPr>
        <w:t xml:space="preserve">4.2.1 </w:t>
      </w:r>
      <w:r>
        <w:rPr>
          <w:rFonts w:ascii="Arial" w:hAnsi="Arial" w:eastAsia="等线" w:cs="Arial"/>
          <w:b/>
          <w:sz w:val="30"/>
        </w:rPr>
        <w:t>曲线定义配置</w:t>
      </w:r>
      <w:bookmarkEnd w:id="15"/>
    </w:p>
    <w:p w14:paraId="7166E2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每条曲线需配置以下属性：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3510"/>
        <w:gridCol w:w="3585"/>
      </w:tblGrid>
      <w:tr w14:paraId="79C600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33A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属性类别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96C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配置项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6C4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46B957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60B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基本属性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5DA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曲线编码、名称、币种、所属分类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8FB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唯一标识曲线，分类支持按发行主体、市场、用途</w:t>
            </w:r>
          </w:p>
        </w:tc>
      </w:tr>
      <w:tr w14:paraId="2AC193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4C2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利率类型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541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即期利率、远期利率、到期收益率、平价收益率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639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决定曲线的经济含义和计算方式</w:t>
            </w:r>
          </w:p>
        </w:tc>
      </w:tr>
      <w:tr w14:paraId="32317B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FBE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计息规则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E7F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计息方式（单利/复利/连续复利）、计息基准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DAD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影响利率换算和折现计算</w:t>
            </w:r>
          </w:p>
        </w:tc>
      </w:tr>
      <w:tr w14:paraId="21AA5B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C01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期限结构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697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标准期限点集、自定义期限点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D63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默认1D/7D/1M/3M/6M/9M/1Y/2Y/3Y/5Y/7Y/10Y/15Y/20Y/30Y</w:t>
            </w:r>
          </w:p>
        </w:tc>
      </w:tr>
      <w:tr w14:paraId="41A0E4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CE9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数据来源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82B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关联数据源、采集字段映射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4FC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建立曲线与采集数据的对应关系</w:t>
            </w:r>
          </w:p>
        </w:tc>
      </w:tr>
    </w:tbl>
    <w:p w14:paraId="0F1FAE28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color w:val="3370FF"/>
          <w:sz w:val="30"/>
        </w:rPr>
        <w:t xml:space="preserve">4.2.2 </w:t>
      </w:r>
      <w:r>
        <w:rPr>
          <w:rFonts w:ascii="Arial" w:hAnsi="Arial" w:eastAsia="等线" w:cs="Arial"/>
          <w:b/>
          <w:sz w:val="30"/>
        </w:rPr>
        <w:t>曲线关系与派生曲线</w:t>
      </w:r>
      <w:bookmarkEnd w:id="16"/>
    </w:p>
    <w:p w14:paraId="4C0411A3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支持曲线间关系定义：基础曲线 → 派生曲线。</w:t>
      </w:r>
    </w:p>
    <w:p w14:paraId="085D6224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典型派生规则：信用利差曲线 = 企业债曲线 − 国债曲线；流动性利差曲线 = 同业存单曲线 − 国开债曲线。</w:t>
      </w:r>
    </w:p>
    <w:p w14:paraId="04A1007D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派生曲线随基础曲线自动更新，支持公式配置。</w:t>
      </w:r>
    </w:p>
    <w:p w14:paraId="7CB349CC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color w:val="3370FF"/>
          <w:sz w:val="30"/>
        </w:rPr>
        <w:t xml:space="preserve">4.2.3 </w:t>
      </w:r>
      <w:r>
        <w:rPr>
          <w:rFonts w:ascii="Arial" w:hAnsi="Arial" w:eastAsia="等线" w:cs="Arial"/>
          <w:b/>
          <w:sz w:val="30"/>
        </w:rPr>
        <w:t>利率数据存储</w:t>
      </w:r>
      <w:bookmarkEnd w:id="17"/>
    </w:p>
    <w:p w14:paraId="1A9D77D5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按"曲线 + 日期 + 期限点"三维模型存储，支持历史任意时点回溯查询。</w:t>
      </w:r>
    </w:p>
    <w:p w14:paraId="624139F8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时序数据库存储，支持高效的时间范围查询和批量读取。</w:t>
      </w:r>
    </w:p>
    <w:p w14:paraId="35E653A4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存储字段：利率值、数据来源、采集时间、入库时间、操作人、数据状态。</w:t>
      </w:r>
    </w:p>
    <w:p w14:paraId="1A4F6CE3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color w:val="3370FF"/>
          <w:sz w:val="30"/>
        </w:rPr>
        <w:t xml:space="preserve">4.2.4 </w:t>
      </w:r>
      <w:r>
        <w:rPr>
          <w:rFonts w:ascii="Arial" w:hAnsi="Arial" w:eastAsia="等线" w:cs="Arial"/>
          <w:b/>
          <w:sz w:val="30"/>
        </w:rPr>
        <w:t>版本管理与数据血缘</w:t>
      </w:r>
      <w:bookmarkEnd w:id="18"/>
    </w:p>
    <w:p w14:paraId="4B2DE201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同一曲线同一日期支持多版本并存：原始版（采集入库）、调整版（人工/规则调整）、业务确认版（正式发布）。</w:t>
      </w:r>
    </w:p>
    <w:p w14:paraId="09A6F673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版本对比：展示两个版本间各期限点的利率差异。</w:t>
      </w:r>
    </w:p>
    <w:p w14:paraId="54243291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版本回滚：可将任意历史版本恢复为当前正式版本。</w:t>
      </w:r>
    </w:p>
    <w:p w14:paraId="04109C4B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数据血缘：记录每条利率值的完整来源链路（原始采集 → 清洗转换 → 派生计算 → 人工调整），调整原因必填。</w:t>
      </w:r>
    </w:p>
    <w:p w14:paraId="04DDC5EF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color w:val="3370FF"/>
          <w:sz w:val="30"/>
        </w:rPr>
        <w:t xml:space="preserve">4.2.5 </w:t>
      </w:r>
      <w:r>
        <w:rPr>
          <w:rFonts w:ascii="Arial" w:hAnsi="Arial" w:eastAsia="等线" w:cs="Arial"/>
          <w:b/>
          <w:sz w:val="30"/>
        </w:rPr>
        <w:t>数据校验</w:t>
      </w:r>
      <w:bookmarkEnd w:id="19"/>
    </w:p>
    <w:p w14:paraId="48081754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入库校验：非空、取值范围（如0-20%）、单调性检查（正常收益率曲线应单调递增，倒挂需标记）。</w:t>
      </w:r>
    </w:p>
    <w:p w14:paraId="166D3FE9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日终对账：与数据源官方发布值比对，差异超过阈值触发告警。</w:t>
      </w:r>
    </w:p>
    <w:p w14:paraId="6B6C69D4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校验规则可配置，支持按曲线设置不同阈值。</w:t>
      </w:r>
    </w:p>
    <w:p w14:paraId="4272A308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color w:val="3370FF"/>
          <w:sz w:val="32"/>
        </w:rPr>
        <w:t xml:space="preserve">4.3 </w:t>
      </w:r>
      <w:r>
        <w:rPr>
          <w:rFonts w:ascii="Arial" w:hAnsi="Arial" w:eastAsia="等线" w:cs="Arial"/>
          <w:b/>
          <w:sz w:val="32"/>
        </w:rPr>
        <w:t>曲线构建引擎层（L3）</w:t>
      </w:r>
      <w:bookmarkEnd w:id="20"/>
    </w:p>
    <w:p w14:paraId="61FC6E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曲线构建引擎是平台的核心能力层，提供可配置、可追溯的曲线重构工具链，所有构建操作均记录参数和结果，支持复现。</w:t>
      </w:r>
    </w:p>
    <w:p w14:paraId="52187E00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color w:val="3370FF"/>
          <w:sz w:val="30"/>
        </w:rPr>
        <w:t xml:space="preserve">4.3.1 </w:t>
      </w:r>
      <w:r>
        <w:rPr>
          <w:rFonts w:ascii="Arial" w:hAnsi="Arial" w:eastAsia="等线" w:cs="Arial"/>
          <w:b/>
          <w:sz w:val="30"/>
        </w:rPr>
        <w:t>曲线拼接（Curve Splicing）</w:t>
      </w:r>
      <w:bookmarkEnd w:id="21"/>
    </w:p>
    <w:p w14:paraId="0AA2AA17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：将短端货币市场利率与中长端债券收益率拼接为完整的收益率曲线。</w:t>
      </w:r>
    </w:p>
    <w:p w14:paraId="63EE54AE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典型场景</w:t>
      </w:r>
      <w:r>
        <w:rPr>
          <w:rFonts w:ascii="Arial" w:hAnsi="Arial" w:eastAsia="等线" w:cs="Arial"/>
          <w:sz w:val="22"/>
        </w:rPr>
        <w:t>：构建无风险收益率曲线，短端用Repo/Shibor，中长端用国债收益率。</w:t>
      </w:r>
    </w:p>
    <w:p w14:paraId="75EDE281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配置项</w:t>
      </w:r>
      <w:r>
        <w:rPr>
          <w:rFonts w:ascii="Arial" w:hAnsi="Arial" w:eastAsia="等线" w:cs="Arial"/>
          <w:sz w:val="22"/>
        </w:rPr>
        <w:t xml:space="preserve">：  </w:t>
      </w:r>
    </w:p>
    <w:p w14:paraId="0B9B5CE8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拼接点选择：指定短端曲线和长端曲线的切换期限（如1年）。</w:t>
      </w:r>
    </w:p>
    <w:p w14:paraId="658C7DB2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拼接权重：在重叠区间内按期限距离加权过渡。</w:t>
      </w:r>
    </w:p>
    <w:p w14:paraId="082E045A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重叠区间处理：支持取均值、短端优先、长端优先、线性过渡。</w:t>
      </w:r>
    </w:p>
    <w:p w14:paraId="0DA65854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  <w:r>
        <w:rPr>
          <w:rFonts w:ascii="Arial" w:hAnsi="Arial" w:eastAsia="等线" w:cs="Arial"/>
          <w:sz w:val="22"/>
        </w:rPr>
        <w:t>：拼接后曲线在拼接点连续，一阶导数平滑（线性过渡模式）；各期限点利率可追溯至源曲线。</w:t>
      </w:r>
    </w:p>
    <w:p w14:paraId="795E5A89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color w:val="3370FF"/>
          <w:sz w:val="30"/>
        </w:rPr>
        <w:t xml:space="preserve">4.3.2 </w:t>
      </w:r>
      <w:r>
        <w:rPr>
          <w:rFonts w:ascii="Arial" w:hAnsi="Arial" w:eastAsia="等线" w:cs="Arial"/>
          <w:b/>
          <w:sz w:val="30"/>
        </w:rPr>
        <w:t>曲线插值（Interpolation）</w:t>
      </w:r>
      <w:bookmarkEnd w:id="22"/>
    </w:p>
    <w:p w14:paraId="5E67CE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用于从标准期限点推算任意非标准期限点的利率值。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45"/>
        <w:gridCol w:w="2400"/>
        <w:gridCol w:w="3135"/>
      </w:tblGrid>
      <w:tr w14:paraId="70F0AD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A2A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插值方法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B5B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适用场景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EB2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特点</w:t>
            </w:r>
          </w:p>
        </w:tc>
      </w:tr>
      <w:tr w14:paraId="380E3C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F87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线性插值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FAF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简单快速估算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8CB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计算简单，曲线在节点处不光滑</w:t>
            </w:r>
          </w:p>
        </w:tc>
      </w:tr>
      <w:tr w14:paraId="76E258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4F9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对数线性插值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BFB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贴现因子插值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2C7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适用于贴现曲线，保证远期利率非负</w:t>
            </w:r>
          </w:p>
        </w:tc>
      </w:tr>
      <w:tr w14:paraId="05EC30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3CE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三次样条（Cubic Spline）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376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需要光滑曲线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29E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二阶连续可导，可能出现振荡</w:t>
            </w:r>
          </w:p>
        </w:tc>
      </w:tr>
      <w:tr w14:paraId="4B732E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9E6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单调保形插值（PCHIP）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FAC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保持数据单调性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910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不会出现过冲，适合利率曲线</w:t>
            </w:r>
          </w:p>
        </w:tc>
      </w:tr>
      <w:tr w14:paraId="425E70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CD1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Nelson-Siegel插值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CA6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基于参数模型的平滑插值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7F5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拟合与插值一体化，经济含义明确</w:t>
            </w:r>
          </w:p>
        </w:tc>
      </w:tr>
    </w:tbl>
    <w:p w14:paraId="5D99E932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  <w:r>
        <w:rPr>
          <w:rFonts w:ascii="Arial" w:hAnsi="Arial" w:eastAsia="等线" w:cs="Arial"/>
          <w:sz w:val="22"/>
        </w:rPr>
        <w:t>：插值结果在标准期限点与原始值一致；支持批量输出任意期限点利率。</w:t>
      </w:r>
    </w:p>
    <w:p w14:paraId="1A138DB2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color w:val="3370FF"/>
          <w:sz w:val="30"/>
        </w:rPr>
        <w:t xml:space="preserve">4.3.3 </w:t>
      </w:r>
      <w:r>
        <w:rPr>
          <w:rFonts w:ascii="Arial" w:hAnsi="Arial" w:eastAsia="等线" w:cs="Arial"/>
          <w:b/>
          <w:sz w:val="30"/>
        </w:rPr>
        <w:t>曲线平滑（Smoothing）</w:t>
      </w:r>
      <w:bookmarkEnd w:id="23"/>
    </w:p>
    <w:p w14:paraId="58961003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：去除市场噪音，提取曲线趋势成分。</w:t>
      </w:r>
    </w:p>
    <w:p w14:paraId="03EAB5F1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平滑方法</w:t>
      </w:r>
      <w:r>
        <w:rPr>
          <w:rFonts w:ascii="Arial" w:hAnsi="Arial" w:eastAsia="等线" w:cs="Arial"/>
          <w:sz w:val="22"/>
        </w:rPr>
        <w:t>：移动平均平滑、指数平滑（EWMA）、LOESS局部回归平滑。</w:t>
      </w:r>
    </w:p>
    <w:p w14:paraId="4AD6C52A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配置项</w:t>
      </w:r>
      <w:r>
        <w:rPr>
          <w:rFonts w:ascii="Arial" w:hAnsi="Arial" w:eastAsia="等线" w:cs="Arial"/>
          <w:sz w:val="22"/>
        </w:rPr>
        <w:t>：平滑窗口大小、平滑系数、边界处理方式。</w:t>
      </w:r>
    </w:p>
    <w:p w14:paraId="6A5BC010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可视化</w:t>
      </w:r>
      <w:r>
        <w:rPr>
          <w:rFonts w:ascii="Arial" w:hAnsi="Arial" w:eastAsia="等线" w:cs="Arial"/>
          <w:sz w:val="22"/>
        </w:rPr>
        <w:t>：平滑前后曲线叠加对比，残差图展示各期限点平滑偏差。</w:t>
      </w:r>
    </w:p>
    <w:p w14:paraId="5E7B1ACE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  <w:r>
        <w:rPr>
          <w:rFonts w:ascii="Arial" w:hAnsi="Arial" w:eastAsia="等线" w:cs="Arial"/>
          <w:sz w:val="22"/>
        </w:rPr>
        <w:t>：平滑后曲线保留原始形态特征，RMSE在可接受范围内；平滑参数和结果可保存复用。</w:t>
      </w:r>
    </w:p>
    <w:p w14:paraId="66AC6255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color w:val="3370FF"/>
          <w:sz w:val="30"/>
        </w:rPr>
        <w:t xml:space="preserve">4.3.4 </w:t>
      </w:r>
      <w:r>
        <w:rPr>
          <w:rFonts w:ascii="Arial" w:hAnsi="Arial" w:eastAsia="等线" w:cs="Arial"/>
          <w:b/>
          <w:sz w:val="30"/>
        </w:rPr>
        <w:t>曲线拟合（Fitting）</w:t>
      </w:r>
      <w:bookmarkEnd w:id="24"/>
    </w:p>
    <w:p w14:paraId="555344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用数学模型对收益率曲线进行参数化拟合，提取曲线的水平、斜率、曲率等特征因子。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5"/>
        <w:gridCol w:w="1635"/>
        <w:gridCol w:w="2475"/>
        <w:gridCol w:w="2490"/>
      </w:tblGrid>
      <w:tr w14:paraId="2D8F4A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63D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拟合模型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C16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适用场景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8EE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关键参数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4E0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特点</w:t>
            </w:r>
          </w:p>
        </w:tc>
      </w:tr>
      <w:tr w14:paraId="4400F8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822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Nelson-Siegel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15E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常规收益率曲线形态拟合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0E0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β0（水平）、β1（斜率）、β2（曲率）、τ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234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参数经济含义明确，应用最广泛</w:t>
            </w:r>
          </w:p>
        </w:tc>
      </w:tr>
      <w:tr w14:paraId="17DD4D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435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Svensson (NSS)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AE2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复杂形态曲线拟合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69A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NS参数 + β3、τ2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CCD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增加一个曲率项，拟合精度更高</w:t>
            </w:r>
          </w:p>
        </w:tc>
      </w:tr>
      <w:tr w14:paraId="0EF382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695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多项式拟合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016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简单趋势拟合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626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多项式阶数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9B1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计算简单，高阶易过拟合</w:t>
            </w:r>
          </w:p>
        </w:tc>
      </w:tr>
      <w:tr w14:paraId="7DDCBF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804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指数样条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881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贴现因子拟合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389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节点数、平滑系数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B3D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直接拟合贴现函数，适合远期利率推导</w:t>
            </w:r>
          </w:p>
        </w:tc>
      </w:tr>
      <w:tr w14:paraId="6F7BA0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6C4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自定义模型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185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行内自研模型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E68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6D6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插件式扩展，支持上传自定义拟合算法</w:t>
            </w:r>
          </w:p>
        </w:tc>
      </w:tr>
    </w:tbl>
    <w:p w14:paraId="056C2073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拟合优度评估</w:t>
      </w:r>
      <w:r>
        <w:rPr>
          <w:rFonts w:ascii="Arial" w:hAnsi="Arial" w:eastAsia="等线" w:cs="Arial"/>
          <w:sz w:val="22"/>
        </w:rPr>
        <w:t>：输出R²、RMSE、各期限点残差，残差超过阈值的期限点自动标记。</w:t>
      </w:r>
    </w:p>
    <w:p w14:paraId="0B2B72F8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参数存储</w:t>
      </w:r>
      <w:r>
        <w:rPr>
          <w:rFonts w:ascii="Arial" w:hAnsi="Arial" w:eastAsia="等线" w:cs="Arial"/>
          <w:sz w:val="22"/>
        </w:rPr>
        <w:t>：拟合参数（如β0/β1/β2）作为时序数据存储，可单独查询和分析（如斜率β1用于判断曲线陡峭化/平坦化趋势）。</w:t>
      </w:r>
    </w:p>
    <w:p w14:paraId="1ADB9D8F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  <w:r>
        <w:rPr>
          <w:rFonts w:ascii="Arial" w:hAnsi="Arial" w:eastAsia="等线" w:cs="Arial"/>
          <w:sz w:val="22"/>
        </w:rPr>
        <w:t>：拟合结果RMSE ≤ 2bp（常规市场环境）；拟合过程可复现，参数和原始数据均留存。</w:t>
      </w:r>
    </w:p>
    <w:p w14:paraId="065F6431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color w:val="3370FF"/>
          <w:sz w:val="30"/>
        </w:rPr>
        <w:t xml:space="preserve">4.3.5 </w:t>
      </w:r>
      <w:r>
        <w:rPr>
          <w:rFonts w:ascii="Arial" w:hAnsi="Arial" w:eastAsia="等线" w:cs="Arial"/>
          <w:b/>
          <w:sz w:val="30"/>
        </w:rPr>
        <w:t>关键期限点提取</w:t>
      </w:r>
      <w:bookmarkEnd w:id="25"/>
    </w:p>
    <w:p w14:paraId="5DF6EE84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自动识别曲线上的关键特征点：最高点、最低点、拐点（二阶导数变号）、倒挂区间。</w:t>
      </w:r>
    </w:p>
    <w:p w14:paraId="74CF0DBB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支持手动锚定关键期限点，用于业务关注的特定期限。</w:t>
      </w:r>
    </w:p>
    <w:p w14:paraId="64B7F46E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特征点时间序列可追踪，如"10年期国债收益率历史最高点"。</w:t>
      </w:r>
    </w:p>
    <w:p w14:paraId="2819C16E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color w:val="3370FF"/>
          <w:sz w:val="32"/>
        </w:rPr>
        <w:t xml:space="preserve">4.4 </w:t>
      </w:r>
      <w:r>
        <w:rPr>
          <w:rFonts w:ascii="Arial" w:hAnsi="Arial" w:eastAsia="等线" w:cs="Arial"/>
          <w:b/>
          <w:sz w:val="32"/>
        </w:rPr>
        <w:t>分析建模层（L4）</w:t>
      </w:r>
      <w:bookmarkEnd w:id="26"/>
    </w:p>
    <w:p w14:paraId="7FF27B8D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color w:val="3370FF"/>
          <w:sz w:val="30"/>
        </w:rPr>
        <w:t xml:space="preserve">4.4.1 </w:t>
      </w:r>
      <w:r>
        <w:rPr>
          <w:rFonts w:ascii="Arial" w:hAnsi="Arial" w:eastAsia="等线" w:cs="Arial"/>
          <w:b/>
          <w:sz w:val="30"/>
        </w:rPr>
        <w:t>曲线走势分析</w:t>
      </w:r>
      <w:bookmarkEnd w:id="27"/>
    </w:p>
    <w:p w14:paraId="0251BAE9">
      <w:pPr>
        <w:spacing w:before="260" w:after="120" w:line="288" w:lineRule="auto"/>
        <w:ind w:left="0"/>
        <w:jc w:val="left"/>
        <w:outlineLvl w:val="3"/>
      </w:pPr>
      <w:bookmarkStart w:id="28" w:name="heading_28"/>
      <w:r>
        <w:rPr>
          <w:rFonts w:ascii="Arial" w:hAnsi="Arial" w:eastAsia="等线" w:cs="Arial"/>
          <w:color w:val="3370FF"/>
          <w:sz w:val="28"/>
        </w:rPr>
        <w:t xml:space="preserve">4.4.1.1 </w:t>
      </w:r>
      <w:r>
        <w:rPr>
          <w:rFonts w:ascii="Arial" w:hAnsi="Arial" w:eastAsia="等线" w:cs="Arial"/>
          <w:b/>
          <w:sz w:val="28"/>
        </w:rPr>
        <w:t>单曲线时序分析</w:t>
      </w:r>
      <w:bookmarkEnd w:id="28"/>
    </w:p>
    <w:p w14:paraId="45DE1599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任意期限点利率的历史走势查询，支持自定义时间范围（日/周/月/季/年）。</w:t>
      </w:r>
    </w:p>
    <w:p w14:paraId="61E87B0B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统计指标：均值、中位数、最大值、最小值、标准差、涨跌幅、年化波动率。</w:t>
      </w:r>
    </w:p>
    <w:p w14:paraId="5DB7CF76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支持多期限点对比展示（如1Y、5Y、10Y走势叠加图）。</w:t>
      </w:r>
    </w:p>
    <w:p w14:paraId="530147FD">
      <w:pPr>
        <w:spacing w:before="260" w:after="120" w:line="288" w:lineRule="auto"/>
        <w:ind w:left="0"/>
        <w:jc w:val="left"/>
        <w:outlineLvl w:val="3"/>
      </w:pPr>
      <w:bookmarkStart w:id="29" w:name="heading_29"/>
      <w:r>
        <w:rPr>
          <w:rFonts w:ascii="Arial" w:hAnsi="Arial" w:eastAsia="等线" w:cs="Arial"/>
          <w:color w:val="3370FF"/>
          <w:sz w:val="28"/>
        </w:rPr>
        <w:t xml:space="preserve">4.4.1.2 </w:t>
      </w:r>
      <w:r>
        <w:rPr>
          <w:rFonts w:ascii="Arial" w:hAnsi="Arial" w:eastAsia="等线" w:cs="Arial"/>
          <w:b/>
          <w:sz w:val="28"/>
        </w:rPr>
        <w:t>曲线形态演变</w:t>
      </w:r>
      <w:bookmarkEnd w:id="29"/>
    </w:p>
    <w:p w14:paraId="28A83D9C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多日曲线叠加图：展示一段时间内曲线形态的变化过程。</w:t>
      </w:r>
    </w:p>
    <w:p w14:paraId="31584C0F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三维曲面图：以时间、期限、利率为三个维度，直观展示曲线整体演变。</w:t>
      </w:r>
    </w:p>
    <w:p w14:paraId="4681369D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形态变化识别：自动标记曲线平移、旋转（斜率变化）、扭曲（曲率变化）等形态变化。</w:t>
      </w:r>
    </w:p>
    <w:p w14:paraId="54C7C44F">
      <w:pPr>
        <w:spacing w:before="260" w:after="120" w:line="288" w:lineRule="auto"/>
        <w:ind w:left="0"/>
        <w:jc w:val="left"/>
        <w:outlineLvl w:val="3"/>
      </w:pPr>
      <w:bookmarkStart w:id="30" w:name="heading_30"/>
      <w:r>
        <w:rPr>
          <w:rFonts w:ascii="Arial" w:hAnsi="Arial" w:eastAsia="等线" w:cs="Arial"/>
          <w:color w:val="3370FF"/>
          <w:sz w:val="28"/>
        </w:rPr>
        <w:t xml:space="preserve">4.4.1.3 </w:t>
      </w:r>
      <w:r>
        <w:rPr>
          <w:rFonts w:ascii="Arial" w:hAnsi="Arial" w:eastAsia="等线" w:cs="Arial"/>
          <w:b/>
          <w:sz w:val="28"/>
        </w:rPr>
        <w:t>形态指标计算</w:t>
      </w:r>
      <w:bookmarkEnd w:id="3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5"/>
        <w:gridCol w:w="3240"/>
        <w:gridCol w:w="3675"/>
      </w:tblGrid>
      <w:tr w14:paraId="06EE2A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32F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B88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计算方式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CE7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业务含义</w:t>
            </w:r>
          </w:p>
        </w:tc>
      </w:tr>
      <w:tr w14:paraId="237CB9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ED5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长短端利差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470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长端利率 − 短端利率（如10Y − 1Y）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358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判断曲线陡峭/平坦，利差收窄可能预示经济下行</w:t>
            </w:r>
          </w:p>
        </w:tc>
      </w:tr>
      <w:tr w14:paraId="3233BE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33C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信用利差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2D5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信用债曲线 − 无风险曲线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5B7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衡量信用风险溢价</w:t>
            </w:r>
          </w:p>
        </w:tc>
      </w:tr>
      <w:tr w14:paraId="5D0BA8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06F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流动性利差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3A5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非流动品种 − 流动品种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354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衡量流动性溢价</w:t>
            </w:r>
          </w:p>
        </w:tc>
      </w:tr>
      <w:tr w14:paraId="1A5244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1D3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斜率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A9B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曲线一阶导数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471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曲线上升/下降速度</w:t>
            </w:r>
          </w:p>
        </w:tc>
      </w:tr>
      <w:tr w14:paraId="702F4A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B88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曲率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EDA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曲线二阶导数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78A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曲线弯曲程度</w:t>
            </w:r>
          </w:p>
        </w:tc>
      </w:tr>
      <w:tr w14:paraId="386684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A79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倒挂识别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8C6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短端利率 &gt; 长端利率的区间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DBF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收益率曲线倒挂，通常预示衰退预期</w:t>
            </w:r>
          </w:p>
        </w:tc>
      </w:tr>
    </w:tbl>
    <w:p w14:paraId="3063FC5C">
      <w:pPr>
        <w:spacing w:before="260" w:after="120" w:line="288" w:lineRule="auto"/>
        <w:ind w:left="0"/>
        <w:jc w:val="left"/>
        <w:outlineLvl w:val="3"/>
      </w:pPr>
      <w:bookmarkStart w:id="31" w:name="heading_31"/>
      <w:r>
        <w:rPr>
          <w:rFonts w:ascii="Arial" w:hAnsi="Arial" w:eastAsia="等线" w:cs="Arial"/>
          <w:color w:val="3370FF"/>
          <w:sz w:val="28"/>
        </w:rPr>
        <w:t xml:space="preserve">4.4.1.4 </w:t>
      </w:r>
      <w:r>
        <w:rPr>
          <w:rFonts w:ascii="Arial" w:hAnsi="Arial" w:eastAsia="等线" w:cs="Arial"/>
          <w:b/>
          <w:sz w:val="28"/>
        </w:rPr>
        <w:t>周期分析</w:t>
      </w:r>
      <w:bookmarkEnd w:id="31"/>
    </w:p>
    <w:p w14:paraId="259EBC60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移动平均（MA）：支持5日、20日、60日等周期。</w:t>
      </w:r>
    </w:p>
    <w:p w14:paraId="5386E8CA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布林带：基于移动平均和标准差构建通道，识别超买超卖。</w:t>
      </w:r>
    </w:p>
    <w:p w14:paraId="3C5239C2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季节性分解：将利率序列分解为趋势项、季节项、残差项。</w:t>
      </w:r>
    </w:p>
    <w:p w14:paraId="47D26425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color w:val="3370FF"/>
          <w:sz w:val="30"/>
        </w:rPr>
        <w:t xml:space="preserve">4.4.2 </w:t>
      </w:r>
      <w:r>
        <w:rPr>
          <w:rFonts w:ascii="Arial" w:hAnsi="Arial" w:eastAsia="等线" w:cs="Arial"/>
          <w:b/>
          <w:sz w:val="30"/>
        </w:rPr>
        <w:t>曲线敏感度分析</w:t>
      </w:r>
      <w:bookmarkEnd w:id="32"/>
    </w:p>
    <w:p w14:paraId="5AA42155">
      <w:pPr>
        <w:spacing w:before="260" w:after="120" w:line="288" w:lineRule="auto"/>
        <w:ind w:left="0"/>
        <w:jc w:val="left"/>
        <w:outlineLvl w:val="3"/>
      </w:pPr>
      <w:bookmarkStart w:id="33" w:name="heading_33"/>
      <w:r>
        <w:rPr>
          <w:rFonts w:ascii="Arial" w:hAnsi="Arial" w:eastAsia="等线" w:cs="Arial"/>
          <w:color w:val="3370FF"/>
          <w:sz w:val="28"/>
        </w:rPr>
        <w:t xml:space="preserve">4.4.2.1 </w:t>
      </w:r>
      <w:r>
        <w:rPr>
          <w:rFonts w:ascii="Arial" w:hAnsi="Arial" w:eastAsia="等线" w:cs="Arial"/>
          <w:b/>
          <w:sz w:val="28"/>
        </w:rPr>
        <w:t>单因子敏感度</w:t>
      </w:r>
      <w:bookmarkEnd w:id="33"/>
    </w:p>
    <w:p w14:paraId="67EEBEA0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平行移动（Parallel Shift）</w:t>
      </w:r>
      <w:r>
        <w:rPr>
          <w:rFonts w:ascii="Arial" w:hAnsi="Arial" w:eastAsia="等线" w:cs="Arial"/>
          <w:sz w:val="22"/>
        </w:rPr>
        <w:t>：曲线所有期限点同时上行/下行N bp，计算对资产负债组合价值的影响。</w:t>
      </w:r>
    </w:p>
    <w:p w14:paraId="1D7DA1D2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斜率变化（Steepener/Flattener）</w:t>
      </w:r>
      <w:r>
        <w:rPr>
          <w:rFonts w:ascii="Arial" w:hAnsi="Arial" w:eastAsia="等线" w:cs="Arial"/>
          <w:sz w:val="22"/>
        </w:rPr>
        <w:t>：短端和长端反向变动，模拟曲线陡峭化/平坦化。</w:t>
      </w:r>
    </w:p>
    <w:p w14:paraId="7DBAC719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曲率变化</w:t>
      </w:r>
      <w:r>
        <w:rPr>
          <w:rFonts w:ascii="Arial" w:hAnsi="Arial" w:eastAsia="等线" w:cs="Arial"/>
          <w:sz w:val="22"/>
        </w:rPr>
        <w:t>：中段与两端反向变动，模拟曲线扭曲。</w:t>
      </w:r>
    </w:p>
    <w:p w14:paraId="32653552">
      <w:pPr>
        <w:spacing w:before="260" w:after="120" w:line="288" w:lineRule="auto"/>
        <w:ind w:left="0"/>
        <w:jc w:val="left"/>
        <w:outlineLvl w:val="3"/>
      </w:pPr>
      <w:bookmarkStart w:id="34" w:name="heading_34"/>
      <w:r>
        <w:rPr>
          <w:rFonts w:ascii="Arial" w:hAnsi="Arial" w:eastAsia="等线" w:cs="Arial"/>
          <w:color w:val="3370FF"/>
          <w:sz w:val="28"/>
        </w:rPr>
        <w:t xml:space="preserve">4.4.2.2 </w:t>
      </w:r>
      <w:r>
        <w:rPr>
          <w:rFonts w:ascii="Arial" w:hAnsi="Arial" w:eastAsia="等线" w:cs="Arial"/>
          <w:b/>
          <w:sz w:val="28"/>
        </w:rPr>
        <w:t>关键利率久期（Key Rate Duration）</w:t>
      </w:r>
      <w:bookmarkEnd w:id="34"/>
    </w:p>
    <w:p w14:paraId="716D3385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计算各关键期限点（如3M、1Y、3Y、5Y、10Y）单独变动1bp对组合价值的影响。</w:t>
      </w:r>
    </w:p>
    <w:p w14:paraId="15281D12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输出关键利率久期向量，展示组合对不同期限利率的风险暴露。</w:t>
      </w:r>
    </w:p>
    <w:p w14:paraId="2D9EB384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支持PV01/DV01计算（利率变动1bp对应的组合价值变化）。</w:t>
      </w:r>
    </w:p>
    <w:p w14:paraId="4A28C49A">
      <w:pPr>
        <w:spacing w:before="260" w:after="120" w:line="288" w:lineRule="auto"/>
        <w:ind w:left="0"/>
        <w:jc w:val="left"/>
        <w:outlineLvl w:val="3"/>
      </w:pPr>
      <w:bookmarkStart w:id="35" w:name="heading_35"/>
      <w:r>
        <w:rPr>
          <w:rFonts w:ascii="Arial" w:hAnsi="Arial" w:eastAsia="等线" w:cs="Arial"/>
          <w:color w:val="3370FF"/>
          <w:sz w:val="28"/>
        </w:rPr>
        <w:t xml:space="preserve">4.4.2.3 </w:t>
      </w:r>
      <w:r>
        <w:rPr>
          <w:rFonts w:ascii="Arial" w:hAnsi="Arial" w:eastAsia="等线" w:cs="Arial"/>
          <w:b/>
          <w:sz w:val="28"/>
        </w:rPr>
        <w:t>情景模拟</w:t>
      </w:r>
      <w:bookmarkEnd w:id="3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2985"/>
        <w:gridCol w:w="3720"/>
      </w:tblGrid>
      <w:tr w14:paraId="303949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E51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情景类型</w:t>
            </w:r>
          </w:p>
        </w:tc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E91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  <w:tc>
          <w:tcPr>
            <w:tcW w:w="3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C45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配置方式</w:t>
            </w:r>
          </w:p>
        </w:tc>
      </w:tr>
      <w:tr w14:paraId="29CA1B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294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平行冲击</w:t>
            </w:r>
          </w:p>
        </w:tc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EB0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利率整体上行/下行N bp</w:t>
            </w:r>
          </w:p>
        </w:tc>
        <w:tc>
          <w:tcPr>
            <w:tcW w:w="3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465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输入冲击幅度（如±100bp、±200bp）</w:t>
            </w:r>
          </w:p>
        </w:tc>
      </w:tr>
      <w:tr w14:paraId="37B72B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E18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陡峭化情景</w:t>
            </w:r>
          </w:p>
        </w:tc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EF7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短端下行、长端上行</w:t>
            </w:r>
          </w:p>
        </w:tc>
        <w:tc>
          <w:tcPr>
            <w:tcW w:w="3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87A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分别设置短端和长端冲击幅度</w:t>
            </w:r>
          </w:p>
        </w:tc>
      </w:tr>
      <w:tr w14:paraId="17CAB2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85D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平坦化情景</w:t>
            </w:r>
          </w:p>
        </w:tc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FD0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短端上行、长端下行</w:t>
            </w:r>
          </w:p>
        </w:tc>
        <w:tc>
          <w:tcPr>
            <w:tcW w:w="3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6D4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分别设置短端和长端冲击幅度</w:t>
            </w:r>
          </w:p>
        </w:tc>
      </w:tr>
      <w:tr w14:paraId="0DF947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BDC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历史极端情景</w:t>
            </w:r>
          </w:p>
        </w:tc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4F8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重演历史特定时期的利率变动</w:t>
            </w:r>
          </w:p>
        </w:tc>
        <w:tc>
          <w:tcPr>
            <w:tcW w:w="3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F2B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选择历史时期（如2013钱荒、2020疫情）</w:t>
            </w:r>
          </w:p>
        </w:tc>
      </w:tr>
      <w:tr w14:paraId="3EF2AF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87F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自定义情景</w:t>
            </w:r>
          </w:p>
        </w:tc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022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各期限点自定义冲击</w:t>
            </w:r>
          </w:p>
        </w:tc>
        <w:tc>
          <w:tcPr>
            <w:tcW w:w="3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3A7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逐期限点输入冲击值或上传冲击向量</w:t>
            </w:r>
          </w:p>
        </w:tc>
      </w:tr>
    </w:tbl>
    <w:p w14:paraId="414DF24C">
      <w:pPr>
        <w:spacing w:before="260" w:after="120" w:line="288" w:lineRule="auto"/>
        <w:ind w:left="0"/>
        <w:jc w:val="left"/>
        <w:outlineLvl w:val="3"/>
      </w:pPr>
      <w:bookmarkStart w:id="36" w:name="heading_36"/>
      <w:r>
        <w:rPr>
          <w:rFonts w:ascii="Arial" w:hAnsi="Arial" w:eastAsia="等线" w:cs="Arial"/>
          <w:color w:val="3370FF"/>
          <w:sz w:val="28"/>
        </w:rPr>
        <w:t xml:space="preserve">4.4.2.4 </w:t>
      </w:r>
      <w:r>
        <w:rPr>
          <w:rFonts w:ascii="Arial" w:hAnsi="Arial" w:eastAsia="等线" w:cs="Arial"/>
          <w:b/>
          <w:sz w:val="28"/>
        </w:rPr>
        <w:t>压力测试</w:t>
      </w:r>
      <w:bookmarkEnd w:id="36"/>
    </w:p>
    <w:p w14:paraId="4B943BD1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支持多因子组合冲击（利率+信用利差+流动性利差同时变动）。</w:t>
      </w:r>
    </w:p>
    <w:p w14:paraId="615D495A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压力测试结果输出：组合价值变化、NII变化、EVE变化、各风险指标变动。</w:t>
      </w:r>
    </w:p>
    <w:p w14:paraId="4B576D83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支持压力测试报告导出，满足监管IRRBB报送要求。</w:t>
      </w:r>
    </w:p>
    <w:p w14:paraId="5FFF7C0E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color w:val="3370FF"/>
          <w:sz w:val="30"/>
        </w:rPr>
        <w:t xml:space="preserve">4.4.3 </w:t>
      </w:r>
      <w:r>
        <w:rPr>
          <w:rFonts w:ascii="Arial" w:hAnsi="Arial" w:eastAsia="等线" w:cs="Arial"/>
          <w:b/>
          <w:sz w:val="30"/>
        </w:rPr>
        <w:t>曲线预测建模（三期规划）</w:t>
      </w:r>
      <w:bookmarkEnd w:id="37"/>
    </w:p>
    <w:p w14:paraId="43179817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基于NSS参数的时序预测：对β0/β1/β2等参数建立ARIMA/VAR模型，预测未来曲线形态。</w:t>
      </w:r>
    </w:p>
    <w:p w14:paraId="5CD998D4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基于宏观因子的回归预测：引入GDP、CPI、M2、政策利率等宏观变量，建立多元回归模型。</w:t>
      </w:r>
    </w:p>
    <w:p w14:paraId="214D418C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机器学习模型：LSTM、XGBoost等，用于短期利率走势预测。</w:t>
      </w:r>
    </w:p>
    <w:p w14:paraId="3292B443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预测结果输出：点预测 + 置信区间，支持多模型对比。</w:t>
      </w:r>
    </w:p>
    <w:p w14:paraId="06B02560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color w:val="3370FF"/>
          <w:sz w:val="30"/>
        </w:rPr>
        <w:t xml:space="preserve">4.4.4 </w:t>
      </w:r>
      <w:r>
        <w:rPr>
          <w:rFonts w:ascii="Arial" w:hAnsi="Arial" w:eastAsia="等线" w:cs="Arial"/>
          <w:b/>
          <w:sz w:val="30"/>
        </w:rPr>
        <w:t>回溯测试</w:t>
      </w:r>
      <w:bookmarkEnd w:id="38"/>
    </w:p>
    <w:p w14:paraId="355E80D5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拟合精度回溯：历史时点用模型重构曲线 vs 实际曲线，统计拟合误差分布。</w:t>
      </w:r>
    </w:p>
    <w:p w14:paraId="13F75330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预测精度回溯：历史时点的预测值 vs 实际值，计算MAE、RMSE、方向准确率。</w:t>
      </w:r>
    </w:p>
    <w:p w14:paraId="48BF84C0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策略回测：基于曲线信号（如利差均值回归、骑乘策略）的历史表现回测。</w:t>
      </w:r>
    </w:p>
    <w:p w14:paraId="1246F4BF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回溯报告：展示模型在不同市场环境下的表现，识别模型失效区间。</w:t>
      </w:r>
    </w:p>
    <w:p w14:paraId="5D3369EC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color w:val="3370FF"/>
          <w:sz w:val="32"/>
        </w:rPr>
        <w:t xml:space="preserve">4.5 </w:t>
      </w:r>
      <w:r>
        <w:rPr>
          <w:rFonts w:ascii="Arial" w:hAnsi="Arial" w:eastAsia="等线" w:cs="Arial"/>
          <w:b/>
          <w:sz w:val="32"/>
        </w:rPr>
        <w:t>业务应用层（L5）</w:t>
      </w:r>
      <w:bookmarkEnd w:id="3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0"/>
        <w:gridCol w:w="3525"/>
        <w:gridCol w:w="3465"/>
      </w:tblGrid>
      <w:tr w14:paraId="0BE57E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754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应用场景</w:t>
            </w:r>
          </w:p>
        </w:tc>
        <w:tc>
          <w:tcPr>
            <w:tcW w:w="3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AC3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使用方式</w:t>
            </w:r>
          </w:p>
        </w:tc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92B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</w:t>
            </w:r>
          </w:p>
        </w:tc>
      </w:tr>
      <w:tr w14:paraId="3B7AF9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A6A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FTP定价</w:t>
            </w:r>
          </w:p>
        </w:tc>
        <w:tc>
          <w:tcPr>
            <w:tcW w:w="3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F2A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基于收益率曲线构建FTP基准曲线，按业务条线加点生成定价曲线</w:t>
            </w:r>
          </w:p>
        </w:tc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E1B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存贷款FTP价格、定价基准曲线</w:t>
            </w:r>
          </w:p>
        </w:tc>
      </w:tr>
      <w:tr w14:paraId="676D64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5A3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估值核算</w:t>
            </w:r>
          </w:p>
        </w:tc>
        <w:tc>
          <w:tcPr>
            <w:tcW w:w="3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887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为债券、衍生品提供折现曲线和远期曲线</w:t>
            </w:r>
          </w:p>
        </w:tc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A41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折现因子、远期利率、估值结果</w:t>
            </w:r>
          </w:p>
        </w:tc>
      </w:tr>
      <w:tr w14:paraId="644752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ABF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ALM管理</w:t>
            </w:r>
          </w:p>
        </w:tc>
        <w:tc>
          <w:tcPr>
            <w:tcW w:w="3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47C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NII敏感性分析、EVE利率风险计量</w:t>
            </w:r>
          </w:p>
        </w:tc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8E5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NII变动、EVE变动、利率风险指标</w:t>
            </w:r>
          </w:p>
        </w:tc>
      </w:tr>
      <w:tr w14:paraId="43AF1A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482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流动性风险</w:t>
            </w:r>
          </w:p>
        </w:tc>
        <w:tc>
          <w:tcPr>
            <w:tcW w:w="3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698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基于收益率曲线的流动性溢价分析</w:t>
            </w:r>
          </w:p>
        </w:tc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814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流动性利差、流动性风险指标</w:t>
            </w:r>
          </w:p>
        </w:tc>
      </w:tr>
      <w:tr w14:paraId="4869AA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CDF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资产配置</w:t>
            </w:r>
          </w:p>
        </w:tc>
        <w:tc>
          <w:tcPr>
            <w:tcW w:w="3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EE4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曲线骑乘策略、蝶式策略信号生成</w:t>
            </w:r>
          </w:p>
        </w:tc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876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策略信号、预期收益测算</w:t>
            </w:r>
          </w:p>
        </w:tc>
      </w:tr>
      <w:tr w14:paraId="1019EA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898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监管报送</w:t>
            </w:r>
          </w:p>
        </w:tc>
        <w:tc>
          <w:tcPr>
            <w:tcW w:w="3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F98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IRRBB相关报表自动生成</w:t>
            </w:r>
          </w:p>
        </w:tc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D75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标准化监管报表</w:t>
            </w:r>
          </w:p>
        </w:tc>
      </w:tr>
    </w:tbl>
    <w:p w14:paraId="72AB7E4D">
      <w:pPr>
        <w:spacing w:before="380" w:after="140" w:line="288" w:lineRule="auto"/>
        <w:ind w:left="0"/>
        <w:jc w:val="left"/>
        <w:outlineLvl w:val="0"/>
      </w:pPr>
      <w:bookmarkStart w:id="40" w:name="heading_40"/>
      <w:r>
        <w:rPr>
          <w:rFonts w:ascii="Arial" w:hAnsi="Arial" w:eastAsia="等线" w:cs="Arial"/>
          <w:color w:val="3370FF"/>
          <w:sz w:val="36"/>
        </w:rPr>
        <w:t xml:space="preserve">5. </w:t>
      </w:r>
      <w:r>
        <w:rPr>
          <w:rFonts w:ascii="Arial" w:hAnsi="Arial" w:eastAsia="等线" w:cs="Arial"/>
          <w:b/>
          <w:sz w:val="36"/>
        </w:rPr>
        <w:t>非功能需求</w:t>
      </w:r>
      <w:bookmarkEnd w:id="4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3510"/>
        <w:gridCol w:w="3585"/>
      </w:tblGrid>
      <w:tr w14:paraId="0F2345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1E0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240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要求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BFC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</w:tr>
      <w:tr w14:paraId="5BE573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7AB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D4E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单曲线拟合 &lt; 1秒；万级资产组合敏感度计算 &lt; 30秒；曲线查询响应 &lt; 500ms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636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压测报告达标</w:t>
            </w:r>
          </w:p>
        </w:tc>
      </w:tr>
      <w:tr w14:paraId="0DE9E9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339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可追溯性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E7A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所有曲线数据、构建参数、分析结果全链路留痕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B34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任意结果可回溯至原始数据和操作参数</w:t>
            </w:r>
          </w:p>
        </w:tc>
      </w:tr>
      <w:tr w14:paraId="37C4FA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D64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可扩展性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0FB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曲线构建模型、分析指标支持插件式扩展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6F7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新增模型无需修改核心代码，通过配置或插件接入</w:t>
            </w:r>
          </w:p>
        </w:tc>
      </w:tr>
      <w:tr w14:paraId="7C990F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A09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可视化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838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曲线对比图、三维曲面图、敏感度热力图、情景模拟仪表盘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E3E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图表加载 &lt; 3秒，支持导出</w:t>
            </w:r>
          </w:p>
        </w:tc>
      </w:tr>
      <w:tr w14:paraId="27415F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3D5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接口开放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E1C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提供REST API，供行内系统调用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238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接口文档完整，支持鉴权、限流、日志</w:t>
            </w:r>
          </w:p>
        </w:tc>
      </w:tr>
      <w:tr w14:paraId="3A772A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C03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安全性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2C0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按曲线、按机构、按角色控制权限；操作审计日志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1A9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权限隔离有效，审计日志完整保留≥5年</w:t>
            </w:r>
          </w:p>
        </w:tc>
      </w:tr>
      <w:tr w14:paraId="42196D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440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高可用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0DC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系统可用性 ≥ 99.9%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656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支持集群部署，故障自动切换</w:t>
            </w:r>
          </w:p>
        </w:tc>
      </w:tr>
    </w:tbl>
    <w:p w14:paraId="5B684165">
      <w:pPr>
        <w:spacing w:before="380" w:after="140" w:line="288" w:lineRule="auto"/>
        <w:ind w:left="0"/>
        <w:jc w:val="left"/>
        <w:outlineLvl w:val="0"/>
      </w:pPr>
      <w:bookmarkStart w:id="41" w:name="heading_41"/>
      <w:r>
        <w:rPr>
          <w:rFonts w:ascii="Arial" w:hAnsi="Arial" w:eastAsia="等线" w:cs="Arial"/>
          <w:color w:val="3370FF"/>
          <w:sz w:val="36"/>
        </w:rPr>
        <w:t xml:space="preserve">6. </w:t>
      </w:r>
      <w:r>
        <w:rPr>
          <w:rFonts w:ascii="Arial" w:hAnsi="Arial" w:eastAsia="等线" w:cs="Arial"/>
          <w:b/>
          <w:sz w:val="36"/>
        </w:rPr>
        <w:t>产品演进路线</w:t>
      </w:r>
      <w:bookmarkEnd w:id="4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050"/>
        <w:gridCol w:w="3165"/>
        <w:gridCol w:w="3165"/>
      </w:tblGrid>
      <w:tr w14:paraId="0D989D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84E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734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周期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86F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核心交付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FEA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</w:t>
            </w:r>
          </w:p>
        </w:tc>
      </w:tr>
      <w:tr w14:paraId="2A98EF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B6C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一期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B65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1-3个月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BE5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中债登等外部数据接入；曲线定义配置；利率数据存储与版本管理；基础插值；曲线可视化；历史查询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11F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建成统一曲线数据底座，替代手工Excel管理</w:t>
            </w:r>
          </w:p>
        </w:tc>
      </w:tr>
      <w:tr w14:paraId="2A69E3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719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二期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F12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3-6个月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DD1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Nelson-Siegel/Svensson拟合；曲线拼接平滑；走势分析、利差分析；关键利率久期；情景模拟与压力测试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DF1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具备完整的曲线构建和基础分析能力，支撑ALM和风控场景</w:t>
            </w:r>
          </w:p>
        </w:tc>
      </w:tr>
      <w:tr w14:paraId="0BEDC8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A39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三期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613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6-12个月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978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利率预测模型；回溯测试；与FTP/估值/ALM系统深度对接；监管报表自动生成；智能定价建议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874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形成曲线全生命周期管理闭环，赋能业务决策</w:t>
            </w:r>
          </w:p>
        </w:tc>
      </w:tr>
    </w:tbl>
    <w:p w14:paraId="35C87A20">
      <w:pPr>
        <w:spacing w:before="380" w:after="140" w:line="288" w:lineRule="auto"/>
        <w:ind w:left="0"/>
        <w:jc w:val="left"/>
        <w:outlineLvl w:val="0"/>
      </w:pPr>
      <w:bookmarkStart w:id="42" w:name="heading_42"/>
      <w:r>
        <w:rPr>
          <w:rFonts w:ascii="Arial" w:hAnsi="Arial" w:eastAsia="等线" w:cs="Arial"/>
          <w:color w:val="3370FF"/>
          <w:sz w:val="36"/>
        </w:rPr>
        <w:t xml:space="preserve">7. </w:t>
      </w:r>
      <w:r>
        <w:rPr>
          <w:rFonts w:ascii="Arial" w:hAnsi="Arial" w:eastAsia="等线" w:cs="Arial"/>
          <w:b/>
          <w:sz w:val="36"/>
        </w:rPr>
        <w:t>依赖与开放问题</w:t>
      </w:r>
      <w:bookmarkEnd w:id="42"/>
    </w:p>
    <w:p w14:paraId="0545D7A8">
      <w:pPr>
        <w:spacing w:before="320" w:after="120" w:line="288" w:lineRule="auto"/>
        <w:ind w:left="0"/>
        <w:jc w:val="left"/>
        <w:outlineLvl w:val="1"/>
      </w:pPr>
      <w:bookmarkStart w:id="45" w:name="_GoBack"/>
      <w:bookmarkEnd w:id="45"/>
      <w:bookmarkStart w:id="43" w:name="heading_43"/>
      <w:r>
        <w:rPr>
          <w:rFonts w:ascii="Arial" w:hAnsi="Arial" w:eastAsia="等线" w:cs="Arial"/>
          <w:color w:val="3370FF"/>
          <w:sz w:val="32"/>
        </w:rPr>
        <w:t xml:space="preserve">7.1 </w:t>
      </w:r>
      <w:r>
        <w:rPr>
          <w:rFonts w:ascii="Arial" w:hAnsi="Arial" w:eastAsia="等线" w:cs="Arial"/>
          <w:b/>
          <w:sz w:val="32"/>
        </w:rPr>
        <w:t>外部依赖</w:t>
      </w:r>
      <w:bookmarkEnd w:id="43"/>
    </w:p>
    <w:p w14:paraId="66B6B90C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中债登、外汇交易中心等数据源的接口授权和数据采购。</w:t>
      </w:r>
    </w:p>
    <w:p w14:paraId="031183E4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行内统一身份认证（SSO）和权限系统对接。</w:t>
      </w:r>
    </w:p>
    <w:p w14:paraId="6CB575EF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行内数据仓库/数据中台的基础数据支持（如需资产负债组合数据用于敏感度计算）。</w:t>
      </w:r>
    </w:p>
    <w:p w14:paraId="507C64E8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color w:val="3370FF"/>
          <w:sz w:val="32"/>
        </w:rPr>
        <w:t xml:space="preserve">7.2 </w:t>
      </w:r>
      <w:r>
        <w:rPr>
          <w:rFonts w:ascii="Arial" w:hAnsi="Arial" w:eastAsia="等线" w:cs="Arial"/>
          <w:b/>
          <w:sz w:val="32"/>
        </w:rPr>
        <w:t>开放问题</w:t>
      </w:r>
      <w:bookmarkEnd w:id="44"/>
    </w:p>
    <w:p w14:paraId="4351C547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曲线拟合精度阈值（2bp）是否满足所有业务场景，需与业务方确认。</w:t>
      </w:r>
    </w:p>
    <w:p w14:paraId="54541D43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敏感度分析所需的资产负债组合数据来源，是平台内部管理还是对接行内ALM系统。</w:t>
      </w:r>
    </w:p>
    <w:p w14:paraId="1124CE38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机器学习预测模型是否纳入三期范围，取决于数据积累情况和业务需求。</w:t>
      </w:r>
    </w:p>
    <w:p w14:paraId="7D16C3F8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多币种支持的优先级，一期是否仅支持人民币。</w:t>
      </w:r>
    </w:p>
    <w:p w14:paraId="2328A4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71D63D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F521C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3"/>
  </w:num>
  <w:num w:numId="2">
    <w:abstractNumId w:val="30"/>
  </w:num>
  <w:num w:numId="3">
    <w:abstractNumId w:val="77"/>
  </w:num>
  <w:num w:numId="4">
    <w:abstractNumId w:val="26"/>
  </w:num>
  <w:num w:numId="5">
    <w:abstractNumId w:val="19"/>
  </w:num>
  <w:num w:numId="6">
    <w:abstractNumId w:val="46"/>
  </w:num>
  <w:num w:numId="7">
    <w:abstractNumId w:val="60"/>
  </w:num>
  <w:num w:numId="8">
    <w:abstractNumId w:val="86"/>
  </w:num>
  <w:num w:numId="9">
    <w:abstractNumId w:val="44"/>
  </w:num>
  <w:num w:numId="10">
    <w:abstractNumId w:val="6"/>
  </w:num>
  <w:num w:numId="11">
    <w:abstractNumId w:val="61"/>
  </w:num>
  <w:num w:numId="12">
    <w:abstractNumId w:val="79"/>
  </w:num>
  <w:num w:numId="13">
    <w:abstractNumId w:val="29"/>
  </w:num>
  <w:num w:numId="14">
    <w:abstractNumId w:val="74"/>
  </w:num>
  <w:num w:numId="15">
    <w:abstractNumId w:val="39"/>
  </w:num>
  <w:num w:numId="16">
    <w:abstractNumId w:val="59"/>
  </w:num>
  <w:num w:numId="17">
    <w:abstractNumId w:val="34"/>
  </w:num>
  <w:num w:numId="18">
    <w:abstractNumId w:val="32"/>
  </w:num>
  <w:num w:numId="19">
    <w:abstractNumId w:val="10"/>
  </w:num>
  <w:num w:numId="20">
    <w:abstractNumId w:val="72"/>
  </w:num>
  <w:num w:numId="21">
    <w:abstractNumId w:val="82"/>
  </w:num>
  <w:num w:numId="22">
    <w:abstractNumId w:val="49"/>
  </w:num>
  <w:num w:numId="23">
    <w:abstractNumId w:val="71"/>
  </w:num>
  <w:num w:numId="24">
    <w:abstractNumId w:val="16"/>
  </w:num>
  <w:num w:numId="25">
    <w:abstractNumId w:val="91"/>
  </w:num>
  <w:num w:numId="26">
    <w:abstractNumId w:val="89"/>
  </w:num>
  <w:num w:numId="27">
    <w:abstractNumId w:val="25"/>
  </w:num>
  <w:num w:numId="28">
    <w:abstractNumId w:val="83"/>
  </w:num>
  <w:num w:numId="29">
    <w:abstractNumId w:val="7"/>
  </w:num>
  <w:num w:numId="30">
    <w:abstractNumId w:val="68"/>
  </w:num>
  <w:num w:numId="31">
    <w:abstractNumId w:val="2"/>
  </w:num>
  <w:num w:numId="32">
    <w:abstractNumId w:val="76"/>
  </w:num>
  <w:num w:numId="33">
    <w:abstractNumId w:val="92"/>
  </w:num>
  <w:num w:numId="34">
    <w:abstractNumId w:val="0"/>
  </w:num>
  <w:num w:numId="35">
    <w:abstractNumId w:val="58"/>
  </w:num>
  <w:num w:numId="36">
    <w:abstractNumId w:val="75"/>
  </w:num>
  <w:num w:numId="37">
    <w:abstractNumId w:val="41"/>
  </w:num>
  <w:num w:numId="38">
    <w:abstractNumId w:val="35"/>
  </w:num>
  <w:num w:numId="39">
    <w:abstractNumId w:val="64"/>
  </w:num>
  <w:num w:numId="40">
    <w:abstractNumId w:val="90"/>
  </w:num>
  <w:num w:numId="41">
    <w:abstractNumId w:val="22"/>
  </w:num>
  <w:num w:numId="42">
    <w:abstractNumId w:val="4"/>
  </w:num>
  <w:num w:numId="43">
    <w:abstractNumId w:val="21"/>
  </w:num>
  <w:num w:numId="44">
    <w:abstractNumId w:val="80"/>
  </w:num>
  <w:num w:numId="45">
    <w:abstractNumId w:val="1"/>
  </w:num>
  <w:num w:numId="46">
    <w:abstractNumId w:val="54"/>
  </w:num>
  <w:num w:numId="47">
    <w:abstractNumId w:val="3"/>
  </w:num>
  <w:num w:numId="48">
    <w:abstractNumId w:val="81"/>
  </w:num>
  <w:num w:numId="49">
    <w:abstractNumId w:val="87"/>
  </w:num>
  <w:num w:numId="50">
    <w:abstractNumId w:val="73"/>
  </w:num>
  <w:num w:numId="51">
    <w:abstractNumId w:val="65"/>
  </w:num>
  <w:num w:numId="52">
    <w:abstractNumId w:val="84"/>
  </w:num>
  <w:num w:numId="53">
    <w:abstractNumId w:val="47"/>
  </w:num>
  <w:num w:numId="54">
    <w:abstractNumId w:val="48"/>
  </w:num>
  <w:num w:numId="55">
    <w:abstractNumId w:val="31"/>
  </w:num>
  <w:num w:numId="56">
    <w:abstractNumId w:val="66"/>
  </w:num>
  <w:num w:numId="57">
    <w:abstractNumId w:val="56"/>
  </w:num>
  <w:num w:numId="58">
    <w:abstractNumId w:val="38"/>
  </w:num>
  <w:num w:numId="59">
    <w:abstractNumId w:val="57"/>
  </w:num>
  <w:num w:numId="60">
    <w:abstractNumId w:val="18"/>
  </w:num>
  <w:num w:numId="61">
    <w:abstractNumId w:val="70"/>
  </w:num>
  <w:num w:numId="62">
    <w:abstractNumId w:val="50"/>
  </w:num>
  <w:num w:numId="63">
    <w:abstractNumId w:val="67"/>
  </w:num>
  <w:num w:numId="64">
    <w:abstractNumId w:val="45"/>
  </w:num>
  <w:num w:numId="65">
    <w:abstractNumId w:val="27"/>
  </w:num>
  <w:num w:numId="66">
    <w:abstractNumId w:val="51"/>
  </w:num>
  <w:num w:numId="67">
    <w:abstractNumId w:val="17"/>
  </w:num>
  <w:num w:numId="68">
    <w:abstractNumId w:val="69"/>
  </w:num>
  <w:num w:numId="69">
    <w:abstractNumId w:val="13"/>
  </w:num>
  <w:num w:numId="70">
    <w:abstractNumId w:val="40"/>
  </w:num>
  <w:num w:numId="71">
    <w:abstractNumId w:val="63"/>
  </w:num>
  <w:num w:numId="72">
    <w:abstractNumId w:val="42"/>
  </w:num>
  <w:num w:numId="73">
    <w:abstractNumId w:val="53"/>
  </w:num>
  <w:num w:numId="74">
    <w:abstractNumId w:val="85"/>
  </w:num>
  <w:num w:numId="75">
    <w:abstractNumId w:val="36"/>
  </w:num>
  <w:num w:numId="76">
    <w:abstractNumId w:val="28"/>
  </w:num>
  <w:num w:numId="77">
    <w:abstractNumId w:val="12"/>
  </w:num>
  <w:num w:numId="78">
    <w:abstractNumId w:val="88"/>
  </w:num>
  <w:num w:numId="79">
    <w:abstractNumId w:val="33"/>
  </w:num>
  <w:num w:numId="80">
    <w:abstractNumId w:val="20"/>
  </w:num>
  <w:num w:numId="81">
    <w:abstractNumId w:val="62"/>
  </w:num>
  <w:num w:numId="82">
    <w:abstractNumId w:val="37"/>
  </w:num>
  <w:num w:numId="83">
    <w:abstractNumId w:val="9"/>
  </w:num>
  <w:num w:numId="84">
    <w:abstractNumId w:val="78"/>
  </w:num>
  <w:num w:numId="85">
    <w:abstractNumId w:val="23"/>
  </w:num>
  <w:num w:numId="86">
    <w:abstractNumId w:val="15"/>
  </w:num>
  <w:num w:numId="87">
    <w:abstractNumId w:val="8"/>
  </w:num>
  <w:num w:numId="88">
    <w:abstractNumId w:val="11"/>
  </w:num>
  <w:num w:numId="89">
    <w:abstractNumId w:val="14"/>
  </w:num>
  <w:num w:numId="90">
    <w:abstractNumId w:val="5"/>
  </w:num>
  <w:num w:numId="91">
    <w:abstractNumId w:val="55"/>
  </w:num>
  <w:num w:numId="92">
    <w:abstractNumId w:val="24"/>
  </w:num>
  <w:num w:numId="93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5543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803" w:firstLineChars="200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3591</Words>
  <Characters>3979</Characters>
  <TotalTime>3</TotalTime>
  <ScaleCrop>false</ScaleCrop>
  <LinksUpToDate>false</LinksUpToDate>
  <CharactersWithSpaces>4052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2026-08-17T03:06:00Z</dcterms:created>
  <dc:creator>Apache POI</dc:creator>
  <cp:lastModifiedBy>张行</cp:lastModifiedBy>
  <dcterms:modified xsi:type="dcterms:W3CDTF">2026-08-17T03:10:04Z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{"Label":"1","ContentProducer":"001191110102MACQD9K64010000","ProduceID":"7674831596750539745","ReservedCode1":"","ContentPropagator":"","PropagateID":"","ReservedCode2":""}</vt:lpwstr>
  </property>
  <property fmtid="{D5CDD505-2E9C-101B-9397-08002B2CF9AE}" pid="3" name="KSOProductBuildVer">
    <vt:lpwstr>2052-12.1.0.28043</vt:lpwstr>
  </property>
  <property fmtid="{D5CDD505-2E9C-101B-9397-08002B2CF9AE}" pid="4" name="ICV">
    <vt:lpwstr>21E0E786B49940598337A9E3659023F5_13</vt:lpwstr>
  </property>
</Properties>
</file>