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324EB">
      <w:pPr>
        <w:spacing w:after="120"/>
        <w:jc w:val="center"/>
      </w:pPr>
      <w:r>
        <w:rPr>
          <w:rFonts w:ascii="黑体" w:hAnsi="黑体" w:eastAsia="黑体"/>
          <w:b/>
          <w:sz w:val="32"/>
        </w:rPr>
        <w:t>“赓续长征精神，智创青春新程”微程序大赛</w:t>
      </w:r>
    </w:p>
    <w:p w14:paraId="6C3BA1B3">
      <w:pPr>
        <w:spacing w:after="280"/>
        <w:jc w:val="center"/>
      </w:pPr>
      <w:r>
        <w:rPr>
          <w:b/>
          <w:sz w:val="30"/>
        </w:rPr>
        <w:t>参赛须知</w:t>
      </w:r>
    </w:p>
    <w:p w14:paraId="79B8679C">
      <w:pPr>
        <w:spacing w:before="200" w:after="100"/>
      </w:pPr>
      <w:r>
        <w:rPr>
          <w:rFonts w:ascii="黑体" w:hAnsi="黑体" w:eastAsia="黑体"/>
          <w:b/>
          <w:sz w:val="24"/>
        </w:rPr>
        <w:t>一、参赛作品要求</w:t>
      </w:r>
    </w:p>
    <w:p w14:paraId="74A970CE">
      <w:pPr>
        <w:ind w:firstLine="420"/>
      </w:pPr>
      <w:r>
        <w:t>1. 参赛作品须紧扣“赓续长征精神，智创青春新程”主题，作品形式包括但不限于网站、小程序、交互式程序、数据可视化作品等。</w:t>
      </w:r>
    </w:p>
    <w:p w14:paraId="07C39DCD">
      <w:pPr>
        <w:ind w:firstLine="420"/>
      </w:pPr>
      <w:r>
        <w:t>2. 作品须为本届比赛期间新创作、新开发的成果，不得直接使用往届作品或已有成熟项目参赛，不得通过更换文字、图片、界面等方式将已有作品包装为新作品。</w:t>
      </w:r>
    </w:p>
    <w:p w14:paraId="146B917F">
      <w:pPr>
        <w:ind w:firstLine="420"/>
      </w:pPr>
      <w:r>
        <w:t>3. 允许合理使用开源框架、第三方API及AI工具辅助开发，但作品须具有实质性自主开发内容，并如实说明相关资源的来源及用途。</w:t>
      </w:r>
    </w:p>
    <w:p w14:paraId="636EA720">
      <w:pPr>
        <w:spacing w:before="200" w:after="100"/>
      </w:pPr>
      <w:r>
        <w:rPr>
          <w:rFonts w:ascii="黑体" w:hAnsi="黑体" w:eastAsia="黑体"/>
          <w:b/>
          <w:sz w:val="24"/>
        </w:rPr>
        <w:t>二、作品提交材料</w:t>
      </w:r>
    </w:p>
    <w:p w14:paraId="131859A8">
      <w:pPr>
        <w:ind w:firstLine="420"/>
      </w:pPr>
      <w:r>
        <w:t>每个参赛作品须提交以下三项材料：</w:t>
      </w:r>
    </w:p>
    <w:p w14:paraId="00DB6DF6">
      <w:pPr>
        <w:ind w:firstLine="420"/>
      </w:pPr>
      <w:r>
        <w:rPr>
          <w:b/>
        </w:rPr>
        <w:t>1. 作品说明书</w:t>
      </w:r>
    </w:p>
    <w:p w14:paraId="5B4A1E43">
      <w:pPr>
        <w:ind w:firstLine="420"/>
      </w:pPr>
      <w:r>
        <w:t>按照</w:t>
      </w:r>
      <w:r>
        <w:rPr>
          <w:rFonts w:hint="eastAsia"/>
          <w:lang w:eastAsia="zh-CN"/>
        </w:rPr>
        <w:t>《</w:t>
      </w:r>
      <w:bookmarkStart w:id="0" w:name="_GoBack"/>
      <w:bookmarkEnd w:id="0"/>
      <w:r>
        <w:t>附件</w:t>
      </w:r>
      <w:r>
        <w:rPr>
          <w:rFonts w:hint="eastAsia"/>
          <w:lang w:val="en-US" w:eastAsia="zh-CN"/>
        </w:rPr>
        <w:t>二：</w:t>
      </w:r>
      <w:r>
        <w:rPr>
          <w:rFonts w:hint="eastAsia"/>
        </w:rPr>
        <w:t>“赓续长征精神，智创青春新程”微程序大赛作品说明文档</w:t>
      </w:r>
      <w:r>
        <w:rPr>
          <w:rFonts w:hint="eastAsia"/>
          <w:lang w:eastAsia="zh-CN"/>
        </w:rPr>
        <w:t>》</w:t>
      </w:r>
      <w:r>
        <w:t>填写。</w:t>
      </w:r>
    </w:p>
    <w:p w14:paraId="0B588F14">
      <w:pPr>
        <w:ind w:firstLine="420"/>
      </w:pPr>
      <w:r>
        <w:rPr>
          <w:b/>
        </w:rPr>
        <w:t>2. 项目实体</w:t>
      </w:r>
    </w:p>
    <w:p w14:paraId="0060AC83">
      <w:pPr>
        <w:ind w:firstLine="420"/>
      </w:pPr>
      <w:r>
        <w:t>提交完整项目源码及必要文件，并提供可供评委核验的访问或运行方式。</w:t>
      </w:r>
    </w:p>
    <w:p w14:paraId="7A5F8F87">
      <w:pPr>
        <w:ind w:firstLine="420"/>
      </w:pPr>
      <w:r>
        <w:t>（1）在线作品：提供有效访问链接或程序入口，需要登录的须提供评审测试账号及密码。</w:t>
      </w:r>
    </w:p>
    <w:p w14:paraId="3B0F57F3">
      <w:pPr>
        <w:ind w:firstLine="420"/>
      </w:pPr>
      <w:r>
        <w:t>（2）本地作品：提供可执行程序或明确的安装、配置及运行说明。</w:t>
      </w:r>
    </w:p>
    <w:p w14:paraId="111C1346">
      <w:pPr>
        <w:ind w:firstLine="420"/>
      </w:pPr>
      <w:r>
        <w:t>（3）项目源码：须与最终展示作品一致，并附必要的依赖及配置说明，确保作品能够正常运行和核验。</w:t>
      </w:r>
    </w:p>
    <w:p w14:paraId="7CAE972B">
      <w:pPr>
        <w:ind w:firstLine="420"/>
      </w:pPr>
      <w:r>
        <w:rPr>
          <w:b/>
        </w:rPr>
        <w:t>3. 作品展示视频（MP4格式）</w:t>
      </w:r>
    </w:p>
    <w:p w14:paraId="02B6488F">
      <w:pPr>
        <w:ind w:firstLine="420"/>
      </w:pPr>
      <w:r>
        <w:t>视频建议时长2—3分钟，以程序实际运行演示为主，清晰展示作品主要功能、操作流程及创新特色，不得以静态画面、纯口头讲解或模拟效果代替真实运行演示。</w:t>
      </w:r>
    </w:p>
    <w:p w14:paraId="1D647C33">
      <w:pPr>
        <w:spacing w:before="200" w:after="100"/>
      </w:pPr>
      <w:r>
        <w:rPr>
          <w:rFonts w:ascii="黑体" w:hAnsi="黑体" w:eastAsia="黑体"/>
          <w:b/>
          <w:sz w:val="24"/>
        </w:rPr>
        <w:t>三、材料提交方式</w:t>
      </w:r>
    </w:p>
    <w:p w14:paraId="7AFCB24D">
      <w:pPr>
        <w:ind w:firstLine="420"/>
      </w:pPr>
      <w:r>
        <w:t>参赛者须将全部材料整理至同一文件夹，命名为“队伍名称+作品名称+成员1学号”，压缩后统一提交。文件夹结构如下：</w:t>
      </w:r>
    </w:p>
    <w:p w14:paraId="313C1EFE">
      <w:pPr>
        <w:spacing w:before="80" w:after="140"/>
        <w:ind w:left="397"/>
      </w:pPr>
      <w:r>
        <w:rPr>
          <w:rFonts w:ascii="Consolas" w:hAnsi="Consolas"/>
          <w:sz w:val="18"/>
        </w:rPr>
        <w:t>队伍名称+作品名称+成员1学号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01 作品说明书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02 项目实体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项目源码及必要文件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访问方式或运行说明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03 作品展示视频.mp4</w:t>
      </w:r>
    </w:p>
    <w:p w14:paraId="4A7D7838">
      <w:pPr>
        <w:ind w:firstLine="420"/>
      </w:pPr>
      <w:r>
        <w:rPr>
          <w:b/>
        </w:rPr>
        <w:t>提交截止时间：</w:t>
      </w:r>
      <w:r>
        <w:t>2026年11月5日23:00</w:t>
      </w:r>
    </w:p>
    <w:p w14:paraId="74463204">
      <w:pPr>
        <w:ind w:firstLine="420"/>
      </w:pPr>
      <w:r>
        <w:rPr>
          <w:b/>
        </w:rPr>
        <w:t>提交邮箱：</w:t>
      </w:r>
      <w:r>
        <w:t>dkxsdjpj_2026@163.com</w:t>
      </w:r>
    </w:p>
    <w:p w14:paraId="5F3582C3">
      <w:pPr>
        <w:spacing w:before="200" w:after="100"/>
      </w:pPr>
      <w:r>
        <w:rPr>
          <w:rFonts w:ascii="黑体" w:hAnsi="黑体" w:eastAsia="黑体"/>
          <w:b/>
          <w:sz w:val="24"/>
        </w:rPr>
        <w:t>四、作品评分标准</w:t>
      </w:r>
    </w:p>
    <w:p w14:paraId="39E9D066">
      <w:pPr>
        <w:ind w:firstLine="420"/>
      </w:pPr>
      <w:r>
        <w:t>本次大赛采用百分制，综合考察作品的主题表达、创新创意、功能与技术水平及材料规范性，具体标准如下：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6066"/>
      </w:tblGrid>
      <w:tr w14:paraId="6886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9EDF2"/>
            <w:vAlign w:val="center"/>
          </w:tcPr>
          <w:p w14:paraId="0012F0F7">
            <w:pPr>
              <w:spacing w:before="40" w:after="40"/>
              <w:jc w:val="center"/>
            </w:pPr>
            <w:r>
              <w:rPr>
                <w:b/>
                <w:sz w:val="19"/>
              </w:rPr>
              <w:t>评分项目</w:t>
            </w:r>
          </w:p>
        </w:tc>
        <w:tc>
          <w:tcPr>
            <w:tcW w:w="850" w:type="dxa"/>
            <w:shd w:val="clear" w:color="auto" w:fill="E9EDF2"/>
            <w:vAlign w:val="center"/>
          </w:tcPr>
          <w:p w14:paraId="6E7DFF6E">
            <w:pPr>
              <w:spacing w:before="40" w:after="40"/>
              <w:jc w:val="center"/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w="6066" w:type="dxa"/>
            <w:shd w:val="clear" w:color="auto" w:fill="E9EDF2"/>
            <w:vAlign w:val="center"/>
          </w:tcPr>
          <w:p w14:paraId="091F89F9">
            <w:pPr>
              <w:spacing w:before="40" w:after="40"/>
              <w:jc w:val="left"/>
            </w:pPr>
            <w:r>
              <w:rPr>
                <w:b/>
                <w:sz w:val="19"/>
              </w:rPr>
              <w:t>评分标准</w:t>
            </w:r>
          </w:p>
        </w:tc>
      </w:tr>
      <w:tr w14:paraId="16A9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B37B47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主题契合度</w:t>
            </w:r>
          </w:p>
        </w:tc>
        <w:tc>
          <w:tcPr>
            <w:tcW w:w="850" w:type="dxa"/>
            <w:vAlign w:val="center"/>
          </w:tcPr>
          <w:p w14:paraId="7366C93C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w="6066" w:type="dxa"/>
            <w:vAlign w:val="center"/>
          </w:tcPr>
          <w:p w14:paraId="390BB8E6">
            <w:pPr>
              <w:spacing w:before="40" w:after="40"/>
              <w:jc w:val="left"/>
            </w:pPr>
            <w:r>
              <w:rPr>
                <w:b w:val="0"/>
                <w:sz w:val="19"/>
              </w:rPr>
              <w:t>紧扣大赛主题，将长征精神融入作品内容、功能或交互设计，主题表达鲜明。</w:t>
            </w:r>
          </w:p>
        </w:tc>
      </w:tr>
      <w:tr w14:paraId="07E2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51172F0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创新创意</w:t>
            </w:r>
          </w:p>
        </w:tc>
        <w:tc>
          <w:tcPr>
            <w:tcW w:w="850" w:type="dxa"/>
            <w:vAlign w:val="center"/>
          </w:tcPr>
          <w:p w14:paraId="3A8FC3B0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w="6066" w:type="dxa"/>
            <w:vAlign w:val="center"/>
          </w:tcPr>
          <w:p w14:paraId="7C0915D4">
            <w:pPr>
              <w:spacing w:before="40" w:after="40"/>
              <w:jc w:val="left"/>
            </w:pPr>
            <w:r>
              <w:rPr>
                <w:b w:val="0"/>
                <w:sz w:val="19"/>
              </w:rPr>
              <w:t>构思新颖，在作品形式、功能设计、交互方式或技术应用等方面具有创新性与特色。</w:t>
            </w:r>
          </w:p>
        </w:tc>
      </w:tr>
      <w:tr w14:paraId="6928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7498127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功能与技术实现</w:t>
            </w:r>
          </w:p>
        </w:tc>
        <w:tc>
          <w:tcPr>
            <w:tcW w:w="850" w:type="dxa"/>
            <w:vAlign w:val="center"/>
          </w:tcPr>
          <w:p w14:paraId="17A6E575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w="6066" w:type="dxa"/>
            <w:vAlign w:val="center"/>
          </w:tcPr>
          <w:p w14:paraId="01F53A3A">
            <w:pPr>
              <w:spacing w:before="40" w:after="40"/>
              <w:jc w:val="left"/>
            </w:pPr>
            <w:r>
              <w:rPr>
                <w:b w:val="0"/>
                <w:sz w:val="19"/>
              </w:rPr>
              <w:t>综合考察核心功能完成度、运行稳定性、技术难度、自主开发程度及整体制作质量。</w:t>
            </w:r>
          </w:p>
        </w:tc>
      </w:tr>
      <w:tr w14:paraId="324A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760BF26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材料规范性</w:t>
            </w:r>
          </w:p>
        </w:tc>
        <w:tc>
          <w:tcPr>
            <w:tcW w:w="850" w:type="dxa"/>
            <w:vAlign w:val="center"/>
          </w:tcPr>
          <w:p w14:paraId="47460ED5"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w="6066" w:type="dxa"/>
            <w:vAlign w:val="center"/>
          </w:tcPr>
          <w:p w14:paraId="5CD5E028">
            <w:pPr>
              <w:spacing w:before="40" w:after="40"/>
              <w:jc w:val="left"/>
            </w:pPr>
            <w:r>
              <w:rPr>
                <w:b w:val="0"/>
                <w:sz w:val="19"/>
              </w:rPr>
              <w:t>作品说明书、项目源码及展示视频齐全，内容清晰规范，便于评审核验。</w:t>
            </w:r>
          </w:p>
        </w:tc>
      </w:tr>
      <w:tr w14:paraId="6CBA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E7DD8D">
            <w:pPr>
              <w:spacing w:before="40" w:after="40"/>
              <w:jc w:val="center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w="850" w:type="dxa"/>
            <w:vAlign w:val="center"/>
          </w:tcPr>
          <w:p w14:paraId="5F88AAC8">
            <w:pPr>
              <w:spacing w:before="40" w:after="40"/>
              <w:jc w:val="center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w="6066" w:type="dxa"/>
            <w:vAlign w:val="center"/>
          </w:tcPr>
          <w:p w14:paraId="796093C0">
            <w:pPr>
              <w:spacing w:before="40" w:after="40"/>
              <w:jc w:val="left"/>
            </w:pPr>
          </w:p>
        </w:tc>
      </w:tr>
    </w:tbl>
    <w:p w14:paraId="38ECA4E9">
      <w:pPr>
        <w:ind w:firstLine="420"/>
      </w:pPr>
      <w:r>
        <w:rPr>
          <w:b/>
        </w:rPr>
        <w:t>评分说明：</w:t>
      </w:r>
      <w:r>
        <w:t>评审以作品实际完成效果为依据，兼顾功能质量与技术水平，不因代码量、技术堆叠或使用AI工具而直接加分。对于技术实现简单、主要依赖现成模板且缺乏实质性自主开发的作品，即使功能完整，也不予评定较高的功能与技术实现分数。</w:t>
      </w:r>
    </w:p>
    <w:p w14:paraId="77D1BBCC">
      <w:pPr>
        <w:spacing w:before="200" w:after="100"/>
      </w:pPr>
      <w:r>
        <w:rPr>
          <w:rFonts w:ascii="黑体" w:hAnsi="黑体" w:eastAsia="黑体"/>
          <w:b/>
          <w:sz w:val="24"/>
        </w:rPr>
        <w:t>五、提交注意事项</w:t>
      </w:r>
    </w:p>
    <w:p w14:paraId="4E4B08A3">
      <w:pPr>
        <w:ind w:firstLine="420"/>
      </w:pPr>
      <w:r>
        <w:t>1. 参赛者须确保材料真实、完整，项目源码、运行效果与展示视频内容一致。</w:t>
      </w:r>
    </w:p>
    <w:p w14:paraId="1D6864F4">
      <w:pPr>
        <w:ind w:firstLine="420"/>
      </w:pPr>
      <w:r>
        <w:t>2. 作品可验证性为参评前提。因关键材料缺失、访问方式无效等原因导致无法核验作品真实性或实际运行情况的，作品总分计0分。</w:t>
      </w:r>
    </w:p>
    <w:p w14:paraId="246357E8">
      <w:pPr>
        <w:ind w:firstLine="420"/>
      </w:pPr>
      <w:r>
        <w:t>3. 严禁抄袭、冒用他人成果、使用已有成熟作品冒充本届新作或伪造运行效果，违规者取消参赛及评奖资格。</w:t>
      </w:r>
    </w:p>
    <w:sectPr>
      <w:pgSz w:w="12240" w:h="15840"/>
      <w:pgMar w:top="1304" w:right="1502" w:bottom="1247" w:left="150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81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1139</Words>
  <Characters>1204</Characters>
  <Lines>0</Lines>
  <Paragraphs>0</Paragraphs>
  <TotalTime>1</TotalTime>
  <ScaleCrop>false</ScaleCrop>
  <LinksUpToDate>false</LinksUpToDate>
  <CharactersWithSpaces>1227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王晗羽</cp:lastModifiedBy>
  <dcterms:modified xsi:type="dcterms:W3CDTF">2026-10-13T11:49:50Z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eyJoZGlkIjoiNDE1Yjc4NDU2MzE1ZjJjMmE3NTk5NDYyNjgxNzNlZjAiLCJ1c2VySWQiOiIxNjIxODA0MzM1In0=</vt:lpwstr>
  </property>
  <property fmtid="{D5CDD505-2E9C-101B-9397-08002B2CF9AE}" pid="3" name="KSOProductBuildVer">
    <vt:lpwstr>2052-12.1.0.28043</vt:lpwstr>
  </property>
  <property fmtid="{D5CDD505-2E9C-101B-9397-08002B2CF9AE}" pid="4" name="ICV">
    <vt:lpwstr>0E45A625067A4749903693B35C57EBA4_12</vt:lpwstr>
  </property>
</Properties>
</file>