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1.5 倍，与标题第一行底部对齐；登录状态和显示任务状态按钮位于第二行。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1.5em;height:1.5em;object-fit:contain;flex:none;margin-right:10px;vertical-align:baseline}h1{display:flex;align-items:flex-start;line-height:1;margin-bottom:16px}.tool-title{padding-top:.5em;line-height:1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class="tool-title"&gt;网页视频转语音识别文字稿（由千问提供支持）&lt;/span&gt;&lt;/h1&gt;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"39b799591b3167d305e79c46dad2405673d68c04df75d1c475e61286dbcb4aae",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