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48"/>
        </w:rPr>
        <w:t>STM32F103C8T6 多级菜单项目</w:t>
      </w:r>
    </w:p>
    <w:p>
      <w:pPr>
        <w:jc w:val="center"/>
      </w:pPr>
      <w:r>
        <w:rPr>
          <w:b/>
          <w:sz w:val="36"/>
        </w:rPr>
        <w:t>旋转编码器版 · 分阶段任务书</w:t>
      </w:r>
    </w:p>
    <w:p/>
    <w:p>
      <w:pPr>
        <w:jc w:val="center"/>
      </w:pPr>
      <w:r>
        <w:t>开发环境：Keil5 + STM32 标准外设库（SPL） + STM32F103C8T6</w:t>
      </w:r>
    </w:p>
    <w:p>
      <w:pPr>
        <w:jc w:val="center"/>
      </w:pPr>
      <w:r>
        <w:t>输入方案：旋转编码器负责 UP / DOWN，两个普通按键负责 ENTER / BACK</w:t>
      </w:r>
    </w:p>
    <w:p/>
    <w:p>
      <w:pPr>
        <w:pStyle w:val="Note"/>
      </w:pPr>
      <w:r>
        <w:rPr>
          <w:b/>
        </w:rPr>
        <w:t>使用原则：</w:t>
      </w:r>
      <w:r>
        <w:t>按关卡顺序实现。本文只给需求、接口、验收标准和必要提示，不提供完整实现代码。遇到问题时，把你当前关卡的代码和现象发来再排查。</w:t>
      </w:r>
    </w:p>
    <w:p>
      <w:r>
        <w:br w:type="page"/>
      </w:r>
    </w:p>
    <w:p>
      <w:pPr>
        <w:pStyle w:val="Heading1"/>
      </w:pPr>
      <w:r>
        <w:t>1. 项目最终目标</w:t>
      </w:r>
    </w:p>
    <w:p>
      <w:r>
        <w:t>做一个基于 OLED 的 STM32 多级菜单控制终端。菜单由旋转编码器滚动选择，ENTER 进入或确认，BACK 返回。后续把 ADC、MPU6050、PWM 和 USART 逐步接入同一套菜单系统。</w:t>
      </w:r>
    </w:p>
    <w:p>
      <w:pPr>
        <w:pStyle w:val="CodeBlock"/>
        <w:shd w:fill="F3F5F7"/>
      </w:pPr>
      <w:r>
        <w:t>ROOT</w:t>
        <w:br/>
        <w:t>├── ADC Monitor</w:t>
        <w:br/>
        <w:t>├── MPU6050</w:t>
        <w:br/>
        <w:t>├── PWM Control</w:t>
        <w:br/>
        <w:t>└── Tools</w:t>
        <w:br/>
        <w:t xml:space="preserve">    ├── Key Test</w:t>
        <w:br/>
        <w:t xml:space="preserve">    ├── Encoder Test</w:t>
        <w:br/>
        <w:t xml:space="preserve">    ├── System Info</w:t>
        <w:br/>
        <w:t xml:space="preserve">    └── Parameter</w:t>
      </w:r>
    </w:p>
    <w:p>
      <w:pPr>
        <w:pStyle w:val="Heading2"/>
      </w:pPr>
      <w:r>
        <w:t>最终操作方式</w:t>
      </w:r>
    </w:p>
    <w:tbl>
      <w:tblPr>
        <w:tblStyle w:val="TableGrid"/>
        <w:tblW w:type="auto" w:w="0"/>
        <w:jc w:val="center"/>
        <w:tblLook w:firstColumn="1" w:firstRow="1" w:lastColumn="0" w:lastRow="0" w:noHBand="0" w:noVBand="1" w:val="04A0"/>
      </w:tblPr>
      <w:tblGrid>
        <w:gridCol w:w="3324"/>
        <w:gridCol w:w="3324"/>
        <w:gridCol w:w="3324"/>
      </w:tblGrid>
      <w:tr>
        <w:tc>
          <w:tcPr>
            <w:tcW w:type="dxa" w:w="2551"/>
            <w:vAlign w:val="center"/>
            <w:shd w:fill="D9EAF7"/>
          </w:tcPr>
          <w:p>
            <w:pPr>
              <w:jc w:val="left"/>
            </w:pPr>
            <w:r/>
            <w:r>
              <w:rPr>
                <w:rFonts w:ascii="Microsoft YaHei" w:hAnsi="Microsoft YaHei" w:eastAsia="Microsoft YaHei"/>
                <w:b/>
                <w:sz w:val="19"/>
              </w:rPr>
              <w:t>硬件操作</w:t>
            </w:r>
          </w:p>
        </w:tc>
        <w:tc>
          <w:tcPr>
            <w:tcW w:type="dxa" w:w="2268"/>
            <w:vAlign w:val="center"/>
            <w:shd w:fill="D9EAF7"/>
          </w:tcPr>
          <w:p>
            <w:pPr>
              <w:jc w:val="left"/>
            </w:pPr>
            <w:r/>
            <w:r>
              <w:rPr>
                <w:rFonts w:ascii="Microsoft YaHei" w:hAnsi="Microsoft YaHei" w:eastAsia="Microsoft YaHei"/>
                <w:b/>
                <w:sz w:val="19"/>
              </w:rPr>
              <w:t>菜单事件</w:t>
            </w:r>
          </w:p>
        </w:tc>
        <w:tc>
          <w:tcPr>
            <w:tcW w:type="dxa" w:w="3969"/>
            <w:vAlign w:val="center"/>
            <w:shd w:fill="D9EAF7"/>
          </w:tcPr>
          <w:p>
            <w:pPr>
              <w:jc w:val="left"/>
            </w:pPr>
            <w:r/>
            <w:r>
              <w:rPr>
                <w:rFonts w:ascii="Microsoft YaHei" w:hAnsi="Microsoft YaHei" w:eastAsia="Microsoft YaHei"/>
                <w:b/>
                <w:sz w:val="19"/>
              </w:rPr>
              <w:t>用途</w:t>
            </w:r>
          </w:p>
        </w:tc>
      </w:tr>
      <w:tr>
        <w:tc>
          <w:tcPr>
            <w:tcW w:type="dxa" w:w="2551"/>
            <w:vAlign w:val="center"/>
          </w:tcPr>
          <w:p>
            <w:pPr>
              <w:jc w:val="left"/>
            </w:pPr>
            <w:r/>
            <w:r>
              <w:rPr>
                <w:rFonts w:ascii="Microsoft YaHei" w:hAnsi="Microsoft YaHei" w:eastAsia="Microsoft YaHei"/>
                <w:b w:val="0"/>
                <w:sz w:val="19"/>
              </w:rPr>
              <w:t>编码器顺时针旋转</w:t>
            </w:r>
          </w:p>
        </w:tc>
        <w:tc>
          <w:tcPr>
            <w:tcW w:type="dxa" w:w="2268"/>
            <w:vAlign w:val="center"/>
          </w:tcPr>
          <w:p>
            <w:pPr>
              <w:jc w:val="left"/>
            </w:pPr>
            <w:r/>
            <w:r>
              <w:rPr>
                <w:rFonts w:ascii="Microsoft YaHei" w:hAnsi="Microsoft YaHei" w:eastAsia="Microsoft YaHei"/>
                <w:b w:val="0"/>
                <w:sz w:val="19"/>
              </w:rPr>
              <w:t>DOWN</w:t>
            </w:r>
          </w:p>
        </w:tc>
        <w:tc>
          <w:tcPr>
            <w:tcW w:type="dxa" w:w="3969"/>
            <w:vAlign w:val="center"/>
          </w:tcPr>
          <w:p>
            <w:pPr>
              <w:jc w:val="left"/>
            </w:pPr>
            <w:r/>
            <w:r>
              <w:rPr>
                <w:rFonts w:ascii="Microsoft YaHei" w:hAnsi="Microsoft YaHei" w:eastAsia="Microsoft YaHei"/>
                <w:b w:val="0"/>
                <w:sz w:val="19"/>
              </w:rPr>
              <w:t>光标下移 / 参数增加</w:t>
            </w:r>
          </w:p>
        </w:tc>
      </w:tr>
      <w:tr>
        <w:tc>
          <w:tcPr>
            <w:tcW w:type="dxa" w:w="2551"/>
            <w:vAlign w:val="center"/>
          </w:tcPr>
          <w:p>
            <w:pPr>
              <w:jc w:val="left"/>
            </w:pPr>
            <w:r/>
            <w:r>
              <w:rPr>
                <w:rFonts w:ascii="Microsoft YaHei" w:hAnsi="Microsoft YaHei" w:eastAsia="Microsoft YaHei"/>
                <w:b w:val="0"/>
                <w:sz w:val="19"/>
              </w:rPr>
              <w:t>编码器逆时针旋转</w:t>
            </w:r>
          </w:p>
        </w:tc>
        <w:tc>
          <w:tcPr>
            <w:tcW w:type="dxa" w:w="2268"/>
            <w:vAlign w:val="center"/>
          </w:tcPr>
          <w:p>
            <w:pPr>
              <w:jc w:val="left"/>
            </w:pPr>
            <w:r/>
            <w:r>
              <w:rPr>
                <w:rFonts w:ascii="Microsoft YaHei" w:hAnsi="Microsoft YaHei" w:eastAsia="Microsoft YaHei"/>
                <w:b w:val="0"/>
                <w:sz w:val="19"/>
              </w:rPr>
              <w:t>UP</w:t>
            </w:r>
          </w:p>
        </w:tc>
        <w:tc>
          <w:tcPr>
            <w:tcW w:type="dxa" w:w="3969"/>
            <w:vAlign w:val="center"/>
          </w:tcPr>
          <w:p>
            <w:pPr>
              <w:jc w:val="left"/>
            </w:pPr>
            <w:r/>
            <w:r>
              <w:rPr>
                <w:rFonts w:ascii="Microsoft YaHei" w:hAnsi="Microsoft YaHei" w:eastAsia="Microsoft YaHei"/>
                <w:b w:val="0"/>
                <w:sz w:val="19"/>
              </w:rPr>
              <w:t>光标上移 / 参数减少</w:t>
            </w:r>
          </w:p>
        </w:tc>
      </w:tr>
      <w:tr>
        <w:tc>
          <w:tcPr>
            <w:tcW w:type="dxa" w:w="2551"/>
            <w:vAlign w:val="center"/>
          </w:tcPr>
          <w:p>
            <w:pPr>
              <w:jc w:val="left"/>
            </w:pPr>
            <w:r/>
            <w:r>
              <w:rPr>
                <w:rFonts w:ascii="Microsoft YaHei" w:hAnsi="Microsoft YaHei" w:eastAsia="Microsoft YaHei"/>
                <w:b w:val="0"/>
                <w:sz w:val="19"/>
              </w:rPr>
              <w:t>ENTER 普通按键</w:t>
            </w:r>
          </w:p>
        </w:tc>
        <w:tc>
          <w:tcPr>
            <w:tcW w:type="dxa" w:w="2268"/>
            <w:vAlign w:val="center"/>
          </w:tcPr>
          <w:p>
            <w:pPr>
              <w:jc w:val="left"/>
            </w:pPr>
            <w:r/>
            <w:r>
              <w:rPr>
                <w:rFonts w:ascii="Microsoft YaHei" w:hAnsi="Microsoft YaHei" w:eastAsia="Microsoft YaHei"/>
                <w:b w:val="0"/>
                <w:sz w:val="19"/>
              </w:rPr>
              <w:t>ENTER</w:t>
            </w:r>
          </w:p>
        </w:tc>
        <w:tc>
          <w:tcPr>
            <w:tcW w:type="dxa" w:w="3969"/>
            <w:vAlign w:val="center"/>
          </w:tcPr>
          <w:p>
            <w:pPr>
              <w:jc w:val="left"/>
            </w:pPr>
            <w:r/>
            <w:r>
              <w:rPr>
                <w:rFonts w:ascii="Microsoft YaHei" w:hAnsi="Microsoft YaHei" w:eastAsia="Microsoft YaHei"/>
                <w:b w:val="0"/>
                <w:sz w:val="19"/>
              </w:rPr>
              <w:t>进入菜单 / 确认</w:t>
            </w:r>
          </w:p>
        </w:tc>
      </w:tr>
      <w:tr>
        <w:tc>
          <w:tcPr>
            <w:tcW w:type="dxa" w:w="2551"/>
            <w:vAlign w:val="center"/>
          </w:tcPr>
          <w:p>
            <w:pPr>
              <w:jc w:val="left"/>
            </w:pPr>
            <w:r/>
            <w:r>
              <w:rPr>
                <w:rFonts w:ascii="Microsoft YaHei" w:hAnsi="Microsoft YaHei" w:eastAsia="Microsoft YaHei"/>
                <w:b w:val="0"/>
                <w:sz w:val="19"/>
              </w:rPr>
              <w:t>BACK 普通按键</w:t>
            </w:r>
          </w:p>
        </w:tc>
        <w:tc>
          <w:tcPr>
            <w:tcW w:type="dxa" w:w="2268"/>
            <w:vAlign w:val="center"/>
          </w:tcPr>
          <w:p>
            <w:pPr>
              <w:jc w:val="left"/>
            </w:pPr>
            <w:r/>
            <w:r>
              <w:rPr>
                <w:rFonts w:ascii="Microsoft YaHei" w:hAnsi="Microsoft YaHei" w:eastAsia="Microsoft YaHei"/>
                <w:b w:val="0"/>
                <w:sz w:val="19"/>
              </w:rPr>
              <w:t>BACK</w:t>
            </w:r>
          </w:p>
        </w:tc>
        <w:tc>
          <w:tcPr>
            <w:tcW w:type="dxa" w:w="3969"/>
            <w:vAlign w:val="center"/>
          </w:tcPr>
          <w:p>
            <w:pPr>
              <w:jc w:val="left"/>
            </w:pPr>
            <w:r/>
            <w:r>
              <w:rPr>
                <w:rFonts w:ascii="Microsoft YaHei" w:hAnsi="Microsoft YaHei" w:eastAsia="Microsoft YaHei"/>
                <w:b w:val="0"/>
                <w:sz w:val="19"/>
              </w:rPr>
              <w:t>退出页面 / 返回上级</w:t>
            </w:r>
          </w:p>
        </w:tc>
      </w:tr>
    </w:tbl>
    <w:p/>
    <w:p>
      <w:pPr>
        <w:pStyle w:val="Heading1"/>
      </w:pPr>
      <w:r>
        <w:t>2. 硬件与接线规划</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268"/>
            <w:vAlign w:val="center"/>
            <w:shd w:fill="D9EAF7"/>
          </w:tcPr>
          <w:p>
            <w:pPr>
              <w:jc w:val="left"/>
            </w:pPr>
            <w:r/>
            <w:r>
              <w:rPr>
                <w:rFonts w:ascii="Microsoft YaHei" w:hAnsi="Microsoft YaHei" w:eastAsia="Microsoft YaHei"/>
                <w:b/>
                <w:sz w:val="19"/>
              </w:rPr>
              <w:t>模块</w:t>
            </w:r>
          </w:p>
        </w:tc>
        <w:tc>
          <w:tcPr>
            <w:tcW w:type="dxa" w:w="1417"/>
            <w:vAlign w:val="center"/>
            <w:shd w:fill="D9EAF7"/>
          </w:tcPr>
          <w:p>
            <w:pPr>
              <w:jc w:val="left"/>
            </w:pPr>
            <w:r/>
            <w:r>
              <w:rPr>
                <w:rFonts w:ascii="Microsoft YaHei" w:hAnsi="Microsoft YaHei" w:eastAsia="Microsoft YaHei"/>
                <w:b/>
                <w:sz w:val="19"/>
              </w:rPr>
              <w:t>引脚</w:t>
            </w:r>
          </w:p>
        </w:tc>
        <w:tc>
          <w:tcPr>
            <w:tcW w:type="dxa" w:w="2268"/>
            <w:vAlign w:val="center"/>
            <w:shd w:fill="D9EAF7"/>
          </w:tcPr>
          <w:p>
            <w:pPr>
              <w:jc w:val="left"/>
            </w:pPr>
            <w:r/>
            <w:r>
              <w:rPr>
                <w:rFonts w:ascii="Microsoft YaHei" w:hAnsi="Microsoft YaHei" w:eastAsia="Microsoft YaHei"/>
                <w:b/>
                <w:sz w:val="19"/>
              </w:rPr>
              <w:t>STM32 连接</w:t>
            </w:r>
          </w:p>
        </w:tc>
        <w:tc>
          <w:tcPr>
            <w:tcW w:type="dxa" w:w="3402"/>
            <w:vAlign w:val="center"/>
            <w:shd w:fill="D9EAF7"/>
          </w:tcPr>
          <w:p>
            <w:pPr>
              <w:jc w:val="left"/>
            </w:pPr>
            <w:r/>
            <w:r>
              <w:rPr>
                <w:rFonts w:ascii="Microsoft YaHei" w:hAnsi="Microsoft YaHei" w:eastAsia="Microsoft YaHei"/>
                <w:b/>
                <w:sz w:val="19"/>
              </w:rPr>
              <w:t>说明</w:t>
            </w:r>
          </w:p>
        </w:tc>
      </w:tr>
      <w:tr>
        <w:tc>
          <w:tcPr>
            <w:tcW w:type="dxa" w:w="2268"/>
            <w:vAlign w:val="center"/>
          </w:tcPr>
          <w:p>
            <w:pPr>
              <w:jc w:val="left"/>
            </w:pPr>
            <w:r/>
            <w:r>
              <w:rPr>
                <w:rFonts w:ascii="Microsoft YaHei" w:hAnsi="Microsoft YaHei" w:eastAsia="Microsoft YaHei"/>
                <w:b w:val="0"/>
                <w:sz w:val="19"/>
              </w:rPr>
              <w:t>旋转编码器模块</w:t>
            </w:r>
          </w:p>
        </w:tc>
        <w:tc>
          <w:tcPr>
            <w:tcW w:type="dxa" w:w="1417"/>
            <w:vAlign w:val="center"/>
          </w:tcPr>
          <w:p>
            <w:pPr>
              <w:jc w:val="left"/>
            </w:pPr>
            <w:r/>
            <w:r>
              <w:rPr>
                <w:rFonts w:ascii="Microsoft YaHei" w:hAnsi="Microsoft YaHei" w:eastAsia="Microsoft YaHei"/>
                <w:b w:val="0"/>
                <w:sz w:val="19"/>
              </w:rPr>
              <w:t>A</w:t>
            </w:r>
          </w:p>
        </w:tc>
        <w:tc>
          <w:tcPr>
            <w:tcW w:type="dxa" w:w="2268"/>
            <w:vAlign w:val="center"/>
          </w:tcPr>
          <w:p>
            <w:pPr>
              <w:jc w:val="left"/>
            </w:pPr>
            <w:r/>
            <w:r>
              <w:rPr>
                <w:rFonts w:ascii="Microsoft YaHei" w:hAnsi="Microsoft YaHei" w:eastAsia="Microsoft YaHei"/>
                <w:b w:val="0"/>
                <w:sz w:val="19"/>
              </w:rPr>
              <w:t>PB0</w:t>
            </w:r>
          </w:p>
        </w:tc>
        <w:tc>
          <w:tcPr>
            <w:tcW w:type="dxa" w:w="3402"/>
            <w:vAlign w:val="center"/>
          </w:tcPr>
          <w:p>
            <w:pPr>
              <w:jc w:val="left"/>
            </w:pPr>
            <w:r/>
            <w:r>
              <w:rPr>
                <w:rFonts w:ascii="Microsoft YaHei" w:hAnsi="Microsoft YaHei" w:eastAsia="Microsoft YaHei"/>
                <w:b w:val="0"/>
                <w:sz w:val="19"/>
              </w:rPr>
              <w:t>沿用江协课程接法</w:t>
            </w:r>
          </w:p>
        </w:tc>
      </w:tr>
      <w:tr>
        <w:tc>
          <w:tcPr>
            <w:tcW w:type="dxa" w:w="2268"/>
            <w:vAlign w:val="center"/>
          </w:tcPr>
          <w:p>
            <w:pPr>
              <w:jc w:val="left"/>
            </w:pPr>
            <w:r/>
            <w:r>
              <w:rPr>
                <w:rFonts w:ascii="Microsoft YaHei" w:hAnsi="Microsoft YaHei" w:eastAsia="Microsoft YaHei"/>
                <w:b w:val="0"/>
                <w:sz w:val="19"/>
              </w:rPr>
              <w:t>旋转编码器模块</w:t>
            </w:r>
          </w:p>
        </w:tc>
        <w:tc>
          <w:tcPr>
            <w:tcW w:type="dxa" w:w="1417"/>
            <w:vAlign w:val="center"/>
          </w:tcPr>
          <w:p>
            <w:pPr>
              <w:jc w:val="left"/>
            </w:pPr>
            <w:r/>
            <w:r>
              <w:rPr>
                <w:rFonts w:ascii="Microsoft YaHei" w:hAnsi="Microsoft YaHei" w:eastAsia="Microsoft YaHei"/>
                <w:b w:val="0"/>
                <w:sz w:val="19"/>
              </w:rPr>
              <w:t>B</w:t>
            </w:r>
          </w:p>
        </w:tc>
        <w:tc>
          <w:tcPr>
            <w:tcW w:type="dxa" w:w="2268"/>
            <w:vAlign w:val="center"/>
          </w:tcPr>
          <w:p>
            <w:pPr>
              <w:jc w:val="left"/>
            </w:pPr>
            <w:r/>
            <w:r>
              <w:rPr>
                <w:rFonts w:ascii="Microsoft YaHei" w:hAnsi="Microsoft YaHei" w:eastAsia="Microsoft YaHei"/>
                <w:b w:val="0"/>
                <w:sz w:val="19"/>
              </w:rPr>
              <w:t>PB1</w:t>
            </w:r>
          </w:p>
        </w:tc>
        <w:tc>
          <w:tcPr>
            <w:tcW w:type="dxa" w:w="3402"/>
            <w:vAlign w:val="center"/>
          </w:tcPr>
          <w:p>
            <w:pPr>
              <w:jc w:val="left"/>
            </w:pPr>
            <w:r/>
            <w:r>
              <w:rPr>
                <w:rFonts w:ascii="Microsoft YaHei" w:hAnsi="Microsoft YaHei" w:eastAsia="Microsoft YaHei"/>
                <w:b w:val="0"/>
                <w:sz w:val="19"/>
              </w:rPr>
              <w:t>沿用江协课程接法</w:t>
            </w:r>
          </w:p>
        </w:tc>
      </w:tr>
      <w:tr>
        <w:tc>
          <w:tcPr>
            <w:tcW w:type="dxa" w:w="2268"/>
            <w:vAlign w:val="center"/>
          </w:tcPr>
          <w:p>
            <w:pPr>
              <w:jc w:val="left"/>
            </w:pPr>
            <w:r/>
            <w:r>
              <w:rPr>
                <w:rFonts w:ascii="Microsoft YaHei" w:hAnsi="Microsoft YaHei" w:eastAsia="Microsoft YaHei"/>
                <w:b w:val="0"/>
                <w:sz w:val="19"/>
              </w:rPr>
              <w:t>旋转编码器模块</w:t>
            </w:r>
          </w:p>
        </w:tc>
        <w:tc>
          <w:tcPr>
            <w:tcW w:type="dxa" w:w="1417"/>
            <w:vAlign w:val="center"/>
          </w:tcPr>
          <w:p>
            <w:pPr>
              <w:jc w:val="left"/>
            </w:pPr>
            <w:r/>
            <w:r>
              <w:rPr>
                <w:rFonts w:ascii="Microsoft YaHei" w:hAnsi="Microsoft YaHei" w:eastAsia="Microsoft YaHei"/>
                <w:b w:val="0"/>
                <w:sz w:val="19"/>
              </w:rPr>
              <w:t>VCC</w:t>
            </w:r>
          </w:p>
        </w:tc>
        <w:tc>
          <w:tcPr>
            <w:tcW w:type="dxa" w:w="2268"/>
            <w:vAlign w:val="center"/>
          </w:tcPr>
          <w:p>
            <w:pPr>
              <w:jc w:val="left"/>
            </w:pPr>
            <w:r/>
            <w:r>
              <w:rPr>
                <w:rFonts w:ascii="Microsoft YaHei" w:hAnsi="Microsoft YaHei" w:eastAsia="Microsoft YaHei"/>
                <w:b w:val="0"/>
                <w:sz w:val="19"/>
              </w:rPr>
              <w:t>3.3V</w:t>
            </w:r>
          </w:p>
        </w:tc>
        <w:tc>
          <w:tcPr>
            <w:tcW w:type="dxa" w:w="3402"/>
            <w:vAlign w:val="center"/>
          </w:tcPr>
          <w:p>
            <w:pPr>
              <w:jc w:val="left"/>
            </w:pPr>
            <w:r/>
            <w:r>
              <w:rPr>
                <w:rFonts w:ascii="Microsoft YaHei" w:hAnsi="Microsoft YaHei" w:eastAsia="Microsoft YaHei"/>
                <w:b w:val="0"/>
                <w:sz w:val="19"/>
              </w:rPr>
              <w:t>不要接 5V 逻辑到 GPIO</w:t>
            </w:r>
          </w:p>
        </w:tc>
      </w:tr>
      <w:tr>
        <w:tc>
          <w:tcPr>
            <w:tcW w:type="dxa" w:w="2268"/>
            <w:vAlign w:val="center"/>
          </w:tcPr>
          <w:p>
            <w:pPr>
              <w:jc w:val="left"/>
            </w:pPr>
            <w:r/>
            <w:r>
              <w:rPr>
                <w:rFonts w:ascii="Microsoft YaHei" w:hAnsi="Microsoft YaHei" w:eastAsia="Microsoft YaHei"/>
                <w:b w:val="0"/>
                <w:sz w:val="19"/>
              </w:rPr>
              <w:t>旋转编码器模块</w:t>
            </w:r>
          </w:p>
        </w:tc>
        <w:tc>
          <w:tcPr>
            <w:tcW w:type="dxa" w:w="1417"/>
            <w:vAlign w:val="center"/>
          </w:tcPr>
          <w:p>
            <w:pPr>
              <w:jc w:val="left"/>
            </w:pPr>
            <w:r/>
            <w:r>
              <w:rPr>
                <w:rFonts w:ascii="Microsoft YaHei" w:hAnsi="Microsoft YaHei" w:eastAsia="Microsoft YaHei"/>
                <w:b w:val="0"/>
                <w:sz w:val="19"/>
              </w:rPr>
              <w:t>GND</w:t>
            </w:r>
          </w:p>
        </w:tc>
        <w:tc>
          <w:tcPr>
            <w:tcW w:type="dxa" w:w="2268"/>
            <w:vAlign w:val="center"/>
          </w:tcPr>
          <w:p>
            <w:pPr>
              <w:jc w:val="left"/>
            </w:pPr>
            <w:r/>
            <w:r>
              <w:rPr>
                <w:rFonts w:ascii="Microsoft YaHei" w:hAnsi="Microsoft YaHei" w:eastAsia="Microsoft YaHei"/>
                <w:b w:val="0"/>
                <w:sz w:val="19"/>
              </w:rPr>
              <w:t>GND</w:t>
            </w:r>
          </w:p>
        </w:tc>
        <w:tc>
          <w:tcPr>
            <w:tcW w:type="dxa" w:w="3402"/>
            <w:vAlign w:val="center"/>
          </w:tcPr>
          <w:p>
            <w:pPr>
              <w:jc w:val="left"/>
            </w:pPr>
            <w:r/>
            <w:r>
              <w:rPr>
                <w:rFonts w:ascii="Microsoft YaHei" w:hAnsi="Microsoft YaHei" w:eastAsia="Microsoft YaHei"/>
                <w:b w:val="0"/>
                <w:sz w:val="19"/>
              </w:rPr>
              <w:t>与 STM32 共地</w:t>
            </w:r>
          </w:p>
        </w:tc>
      </w:tr>
      <w:tr>
        <w:tc>
          <w:tcPr>
            <w:tcW w:type="dxa" w:w="2268"/>
            <w:vAlign w:val="center"/>
          </w:tcPr>
          <w:p>
            <w:pPr>
              <w:jc w:val="left"/>
            </w:pPr>
            <w:r/>
            <w:r>
              <w:rPr>
                <w:rFonts w:ascii="Microsoft YaHei" w:hAnsi="Microsoft YaHei" w:eastAsia="Microsoft YaHei"/>
                <w:b w:val="0"/>
                <w:sz w:val="19"/>
              </w:rPr>
              <w:t>ENTER 按键</w:t>
            </w:r>
          </w:p>
        </w:tc>
        <w:tc>
          <w:tcPr>
            <w:tcW w:type="dxa" w:w="1417"/>
            <w:vAlign w:val="center"/>
          </w:tcPr>
          <w:p>
            <w:pPr>
              <w:jc w:val="left"/>
            </w:pPr>
            <w:r/>
            <w:r>
              <w:rPr>
                <w:rFonts w:ascii="Microsoft YaHei" w:hAnsi="Microsoft YaHei" w:eastAsia="Microsoft YaHei"/>
                <w:b w:val="0"/>
                <w:sz w:val="19"/>
              </w:rPr>
              <w:t>一端</w:t>
            </w:r>
          </w:p>
        </w:tc>
        <w:tc>
          <w:tcPr>
            <w:tcW w:type="dxa" w:w="2268"/>
            <w:vAlign w:val="center"/>
          </w:tcPr>
          <w:p>
            <w:pPr>
              <w:jc w:val="left"/>
            </w:pPr>
            <w:r/>
            <w:r>
              <w:rPr>
                <w:rFonts w:ascii="Microsoft YaHei" w:hAnsi="Microsoft YaHei" w:eastAsia="Microsoft YaHei"/>
                <w:b w:val="0"/>
                <w:sz w:val="19"/>
              </w:rPr>
              <w:t>PA5</w:t>
            </w:r>
          </w:p>
        </w:tc>
        <w:tc>
          <w:tcPr>
            <w:tcW w:type="dxa" w:w="3402"/>
            <w:vAlign w:val="center"/>
          </w:tcPr>
          <w:p>
            <w:pPr>
              <w:jc w:val="left"/>
            </w:pPr>
            <w:r/>
            <w:r>
              <w:rPr>
                <w:rFonts w:ascii="Microsoft YaHei" w:hAnsi="Microsoft YaHei" w:eastAsia="Microsoft YaHei"/>
                <w:b w:val="0"/>
                <w:sz w:val="19"/>
              </w:rPr>
              <w:t>GPIO 内部上拉输入</w:t>
            </w:r>
          </w:p>
        </w:tc>
      </w:tr>
      <w:tr>
        <w:tc>
          <w:tcPr>
            <w:tcW w:type="dxa" w:w="2268"/>
            <w:vAlign w:val="center"/>
          </w:tcPr>
          <w:p>
            <w:pPr>
              <w:jc w:val="left"/>
            </w:pPr>
            <w:r/>
            <w:r>
              <w:rPr>
                <w:rFonts w:ascii="Microsoft YaHei" w:hAnsi="Microsoft YaHei" w:eastAsia="Microsoft YaHei"/>
                <w:b w:val="0"/>
                <w:sz w:val="19"/>
              </w:rPr>
              <w:t>ENTER 按键</w:t>
            </w:r>
          </w:p>
        </w:tc>
        <w:tc>
          <w:tcPr>
            <w:tcW w:type="dxa" w:w="1417"/>
            <w:vAlign w:val="center"/>
          </w:tcPr>
          <w:p>
            <w:pPr>
              <w:jc w:val="left"/>
            </w:pPr>
            <w:r/>
            <w:r>
              <w:rPr>
                <w:rFonts w:ascii="Microsoft YaHei" w:hAnsi="Microsoft YaHei" w:eastAsia="Microsoft YaHei"/>
                <w:b w:val="0"/>
                <w:sz w:val="19"/>
              </w:rPr>
              <w:t>另一端</w:t>
            </w:r>
          </w:p>
        </w:tc>
        <w:tc>
          <w:tcPr>
            <w:tcW w:type="dxa" w:w="2268"/>
            <w:vAlign w:val="center"/>
          </w:tcPr>
          <w:p>
            <w:pPr>
              <w:jc w:val="left"/>
            </w:pPr>
            <w:r/>
            <w:r>
              <w:rPr>
                <w:rFonts w:ascii="Microsoft YaHei" w:hAnsi="Microsoft YaHei" w:eastAsia="Microsoft YaHei"/>
                <w:b w:val="0"/>
                <w:sz w:val="19"/>
              </w:rPr>
              <w:t>GND</w:t>
            </w:r>
          </w:p>
        </w:tc>
        <w:tc>
          <w:tcPr>
            <w:tcW w:type="dxa" w:w="3402"/>
            <w:vAlign w:val="center"/>
          </w:tcPr>
          <w:p>
            <w:pPr>
              <w:jc w:val="left"/>
            </w:pPr>
            <w:r/>
            <w:r>
              <w:rPr>
                <w:rFonts w:ascii="Microsoft YaHei" w:hAnsi="Microsoft YaHei" w:eastAsia="Microsoft YaHei"/>
                <w:b w:val="0"/>
                <w:sz w:val="19"/>
              </w:rPr>
              <w:t>按下为低电平</w:t>
            </w:r>
          </w:p>
        </w:tc>
      </w:tr>
      <w:tr>
        <w:tc>
          <w:tcPr>
            <w:tcW w:type="dxa" w:w="2268"/>
            <w:vAlign w:val="center"/>
          </w:tcPr>
          <w:p>
            <w:pPr>
              <w:jc w:val="left"/>
            </w:pPr>
            <w:r/>
            <w:r>
              <w:rPr>
                <w:rFonts w:ascii="Microsoft YaHei" w:hAnsi="Microsoft YaHei" w:eastAsia="Microsoft YaHei"/>
                <w:b w:val="0"/>
                <w:sz w:val="19"/>
              </w:rPr>
              <w:t>BACK 按键</w:t>
            </w:r>
          </w:p>
        </w:tc>
        <w:tc>
          <w:tcPr>
            <w:tcW w:type="dxa" w:w="1417"/>
            <w:vAlign w:val="center"/>
          </w:tcPr>
          <w:p>
            <w:pPr>
              <w:jc w:val="left"/>
            </w:pPr>
            <w:r/>
            <w:r>
              <w:rPr>
                <w:rFonts w:ascii="Microsoft YaHei" w:hAnsi="Microsoft YaHei" w:eastAsia="Microsoft YaHei"/>
                <w:b w:val="0"/>
                <w:sz w:val="19"/>
              </w:rPr>
              <w:t>一端</w:t>
            </w:r>
          </w:p>
        </w:tc>
        <w:tc>
          <w:tcPr>
            <w:tcW w:type="dxa" w:w="2268"/>
            <w:vAlign w:val="center"/>
          </w:tcPr>
          <w:p>
            <w:pPr>
              <w:jc w:val="left"/>
            </w:pPr>
            <w:r/>
            <w:r>
              <w:rPr>
                <w:rFonts w:ascii="Microsoft YaHei" w:hAnsi="Microsoft YaHei" w:eastAsia="Microsoft YaHei"/>
                <w:b w:val="0"/>
                <w:sz w:val="19"/>
              </w:rPr>
              <w:t>PA4</w:t>
            </w:r>
          </w:p>
        </w:tc>
        <w:tc>
          <w:tcPr>
            <w:tcW w:type="dxa" w:w="3402"/>
            <w:vAlign w:val="center"/>
          </w:tcPr>
          <w:p>
            <w:pPr>
              <w:jc w:val="left"/>
            </w:pPr>
            <w:r/>
            <w:r>
              <w:rPr>
                <w:rFonts w:ascii="Microsoft YaHei" w:hAnsi="Microsoft YaHei" w:eastAsia="Microsoft YaHei"/>
                <w:b w:val="0"/>
                <w:sz w:val="19"/>
              </w:rPr>
              <w:t>GPIO 内部上拉输入</w:t>
            </w:r>
          </w:p>
        </w:tc>
      </w:tr>
      <w:tr>
        <w:tc>
          <w:tcPr>
            <w:tcW w:type="dxa" w:w="2268"/>
            <w:vAlign w:val="center"/>
          </w:tcPr>
          <w:p>
            <w:pPr>
              <w:jc w:val="left"/>
            </w:pPr>
            <w:r/>
            <w:r>
              <w:rPr>
                <w:rFonts w:ascii="Microsoft YaHei" w:hAnsi="Microsoft YaHei" w:eastAsia="Microsoft YaHei"/>
                <w:b w:val="0"/>
                <w:sz w:val="19"/>
              </w:rPr>
              <w:t>BACK 按键</w:t>
            </w:r>
          </w:p>
        </w:tc>
        <w:tc>
          <w:tcPr>
            <w:tcW w:type="dxa" w:w="1417"/>
            <w:vAlign w:val="center"/>
          </w:tcPr>
          <w:p>
            <w:pPr>
              <w:jc w:val="left"/>
            </w:pPr>
            <w:r/>
            <w:r>
              <w:rPr>
                <w:rFonts w:ascii="Microsoft YaHei" w:hAnsi="Microsoft YaHei" w:eastAsia="Microsoft YaHei"/>
                <w:b w:val="0"/>
                <w:sz w:val="19"/>
              </w:rPr>
              <w:t>另一端</w:t>
            </w:r>
          </w:p>
        </w:tc>
        <w:tc>
          <w:tcPr>
            <w:tcW w:type="dxa" w:w="2268"/>
            <w:vAlign w:val="center"/>
          </w:tcPr>
          <w:p>
            <w:pPr>
              <w:jc w:val="left"/>
            </w:pPr>
            <w:r/>
            <w:r>
              <w:rPr>
                <w:rFonts w:ascii="Microsoft YaHei" w:hAnsi="Microsoft YaHei" w:eastAsia="Microsoft YaHei"/>
                <w:b w:val="0"/>
                <w:sz w:val="19"/>
              </w:rPr>
              <w:t>GND</w:t>
            </w:r>
          </w:p>
        </w:tc>
        <w:tc>
          <w:tcPr>
            <w:tcW w:type="dxa" w:w="3402"/>
            <w:vAlign w:val="center"/>
          </w:tcPr>
          <w:p>
            <w:pPr>
              <w:jc w:val="left"/>
            </w:pPr>
            <w:r/>
            <w:r>
              <w:rPr>
                <w:rFonts w:ascii="Microsoft YaHei" w:hAnsi="Microsoft YaHei" w:eastAsia="Microsoft YaHei"/>
                <w:b w:val="0"/>
                <w:sz w:val="19"/>
              </w:rPr>
              <w:t>按下为低电平</w:t>
            </w:r>
          </w:p>
        </w:tc>
      </w:tr>
      <w:tr>
        <w:tc>
          <w:tcPr>
            <w:tcW w:type="dxa" w:w="2268"/>
            <w:vAlign w:val="center"/>
          </w:tcPr>
          <w:p>
            <w:pPr>
              <w:jc w:val="left"/>
            </w:pPr>
            <w:r/>
            <w:r>
              <w:rPr>
                <w:rFonts w:ascii="Microsoft YaHei" w:hAnsi="Microsoft YaHei" w:eastAsia="Microsoft YaHei"/>
                <w:b w:val="0"/>
                <w:sz w:val="19"/>
              </w:rPr>
              <w:t>OLED</w:t>
            </w:r>
          </w:p>
        </w:tc>
        <w:tc>
          <w:tcPr>
            <w:tcW w:type="dxa" w:w="1417"/>
            <w:vAlign w:val="center"/>
          </w:tcPr>
          <w:p>
            <w:pPr>
              <w:jc w:val="left"/>
            </w:pPr>
            <w:r/>
            <w:r>
              <w:rPr>
                <w:rFonts w:ascii="Microsoft YaHei" w:hAnsi="Microsoft YaHei" w:eastAsia="Microsoft YaHei"/>
                <w:b w:val="0"/>
                <w:sz w:val="19"/>
              </w:rPr>
              <w:t>SCL</w:t>
            </w:r>
          </w:p>
        </w:tc>
        <w:tc>
          <w:tcPr>
            <w:tcW w:type="dxa" w:w="2268"/>
            <w:vAlign w:val="center"/>
          </w:tcPr>
          <w:p>
            <w:pPr>
              <w:jc w:val="left"/>
            </w:pPr>
            <w:r/>
            <w:r>
              <w:rPr>
                <w:rFonts w:ascii="Microsoft YaHei" w:hAnsi="Microsoft YaHei" w:eastAsia="Microsoft YaHei"/>
                <w:b w:val="0"/>
                <w:sz w:val="19"/>
              </w:rPr>
              <w:t>PB8</w:t>
            </w:r>
          </w:p>
        </w:tc>
        <w:tc>
          <w:tcPr>
            <w:tcW w:type="dxa" w:w="3402"/>
            <w:vAlign w:val="center"/>
          </w:tcPr>
          <w:p>
            <w:pPr>
              <w:jc w:val="left"/>
            </w:pPr>
            <w:r/>
            <w:r>
              <w:rPr>
                <w:rFonts w:ascii="Microsoft YaHei" w:hAnsi="Microsoft YaHei" w:eastAsia="Microsoft YaHei"/>
                <w:b w:val="0"/>
                <w:sz w:val="19"/>
              </w:rPr>
              <w:t>软件 I2C</w:t>
            </w:r>
          </w:p>
        </w:tc>
      </w:tr>
      <w:tr>
        <w:tc>
          <w:tcPr>
            <w:tcW w:type="dxa" w:w="2268"/>
            <w:vAlign w:val="center"/>
          </w:tcPr>
          <w:p>
            <w:pPr>
              <w:jc w:val="left"/>
            </w:pPr>
            <w:r/>
            <w:r>
              <w:rPr>
                <w:rFonts w:ascii="Microsoft YaHei" w:hAnsi="Microsoft YaHei" w:eastAsia="Microsoft YaHei"/>
                <w:b w:val="0"/>
                <w:sz w:val="19"/>
              </w:rPr>
              <w:t>OLED</w:t>
            </w:r>
          </w:p>
        </w:tc>
        <w:tc>
          <w:tcPr>
            <w:tcW w:type="dxa" w:w="1417"/>
            <w:vAlign w:val="center"/>
          </w:tcPr>
          <w:p>
            <w:pPr>
              <w:jc w:val="left"/>
            </w:pPr>
            <w:r/>
            <w:r>
              <w:rPr>
                <w:rFonts w:ascii="Microsoft YaHei" w:hAnsi="Microsoft YaHei" w:eastAsia="Microsoft YaHei"/>
                <w:b w:val="0"/>
                <w:sz w:val="19"/>
              </w:rPr>
              <w:t>SDA</w:t>
            </w:r>
          </w:p>
        </w:tc>
        <w:tc>
          <w:tcPr>
            <w:tcW w:type="dxa" w:w="2268"/>
            <w:vAlign w:val="center"/>
          </w:tcPr>
          <w:p>
            <w:pPr>
              <w:jc w:val="left"/>
            </w:pPr>
            <w:r/>
            <w:r>
              <w:rPr>
                <w:rFonts w:ascii="Microsoft YaHei" w:hAnsi="Microsoft YaHei" w:eastAsia="Microsoft YaHei"/>
                <w:b w:val="0"/>
                <w:sz w:val="19"/>
              </w:rPr>
              <w:t>PB9</w:t>
            </w:r>
          </w:p>
        </w:tc>
        <w:tc>
          <w:tcPr>
            <w:tcW w:type="dxa" w:w="3402"/>
            <w:vAlign w:val="center"/>
          </w:tcPr>
          <w:p>
            <w:pPr>
              <w:jc w:val="left"/>
            </w:pPr>
            <w:r/>
            <w:r>
              <w:rPr>
                <w:rFonts w:ascii="Microsoft YaHei" w:hAnsi="Microsoft YaHei" w:eastAsia="Microsoft YaHei"/>
                <w:b w:val="0"/>
                <w:sz w:val="19"/>
              </w:rPr>
              <w:t>软件 I2C</w:t>
            </w:r>
          </w:p>
        </w:tc>
      </w:tr>
      <w:tr>
        <w:tc>
          <w:tcPr>
            <w:tcW w:type="dxa" w:w="2268"/>
            <w:vAlign w:val="center"/>
          </w:tcPr>
          <w:p>
            <w:pPr>
              <w:jc w:val="left"/>
            </w:pPr>
            <w:r/>
            <w:r>
              <w:rPr>
                <w:rFonts w:ascii="Microsoft YaHei" w:hAnsi="Microsoft YaHei" w:eastAsia="Microsoft YaHei"/>
                <w:b w:val="0"/>
                <w:sz w:val="19"/>
              </w:rPr>
              <w:t>OLED</w:t>
            </w:r>
          </w:p>
        </w:tc>
        <w:tc>
          <w:tcPr>
            <w:tcW w:type="dxa" w:w="1417"/>
            <w:vAlign w:val="center"/>
          </w:tcPr>
          <w:p>
            <w:pPr>
              <w:jc w:val="left"/>
            </w:pPr>
            <w:r/>
            <w:r>
              <w:rPr>
                <w:rFonts w:ascii="Microsoft YaHei" w:hAnsi="Microsoft YaHei" w:eastAsia="Microsoft YaHei"/>
                <w:b w:val="0"/>
                <w:sz w:val="19"/>
              </w:rPr>
              <w:t>VCC/GND</w:t>
            </w:r>
          </w:p>
        </w:tc>
        <w:tc>
          <w:tcPr>
            <w:tcW w:type="dxa" w:w="2268"/>
            <w:vAlign w:val="center"/>
          </w:tcPr>
          <w:p>
            <w:pPr>
              <w:jc w:val="left"/>
            </w:pPr>
            <w:r/>
            <w:r>
              <w:rPr>
                <w:rFonts w:ascii="Microsoft YaHei" w:hAnsi="Microsoft YaHei" w:eastAsia="Microsoft YaHei"/>
                <w:b w:val="0"/>
                <w:sz w:val="19"/>
              </w:rPr>
              <w:t>3.3V/GND</w:t>
            </w:r>
          </w:p>
        </w:tc>
        <w:tc>
          <w:tcPr>
            <w:tcW w:type="dxa" w:w="3402"/>
            <w:vAlign w:val="center"/>
          </w:tcPr>
          <w:p>
            <w:pPr>
              <w:jc w:val="left"/>
            </w:pPr>
            <w:r/>
            <w:r>
              <w:rPr>
                <w:rFonts w:ascii="Microsoft YaHei" w:hAnsi="Microsoft YaHei" w:eastAsia="Microsoft YaHei"/>
                <w:b w:val="0"/>
                <w:sz w:val="19"/>
              </w:rPr>
              <w:t>共地</w:t>
            </w:r>
          </w:p>
        </w:tc>
      </w:tr>
    </w:tbl>
    <w:p/>
    <w:p>
      <w:pPr>
        <w:pStyle w:val="Heading2"/>
      </w:pPr>
      <w:r>
        <w:t>你课程中的旋转编码器接线参考</w:t>
      </w:r>
    </w:p>
    <w:p>
      <w:pPr>
        <w:jc w:val="center"/>
      </w:pPr>
      <w:r>
        <w:drawing>
          <wp:inline xmlns:a="http://schemas.openxmlformats.org/drawingml/2006/main" xmlns:pic="http://schemas.openxmlformats.org/drawingml/2006/picture">
            <wp:extent cx="6035040" cy="2348597"/>
            <wp:docPr id="1" name="Picture 1"/>
            <wp:cNvGraphicFramePr>
              <a:graphicFrameLocks noChangeAspect="1"/>
            </wp:cNvGraphicFramePr>
            <a:graphic>
              <a:graphicData uri="http://schemas.openxmlformats.org/drawingml/2006/picture">
                <pic:pic>
                  <pic:nvPicPr>
                    <pic:cNvPr id="0" name="becbb4ad-a6bf-41de-984a-c862d66d19aa.jpg"/>
                    <pic:cNvPicPr/>
                  </pic:nvPicPr>
                  <pic:blipFill>
                    <a:blip r:embed="rId9"/>
                    <a:stretch>
                      <a:fillRect/>
                    </a:stretch>
                  </pic:blipFill>
                  <pic:spPr>
                    <a:xfrm>
                      <a:off x="0" y="0"/>
                      <a:ext cx="6035040" cy="2348597"/>
                    </a:xfrm>
                    <a:prstGeom prst="rect"/>
                  </pic:spPr>
                </pic:pic>
              </a:graphicData>
            </a:graphic>
          </wp:inline>
        </w:drawing>
      </w:r>
    </w:p>
    <w:p>
      <w:pPr>
        <w:jc w:val="center"/>
      </w:pPr>
      <w:r>
        <w:t>图：你学习旋转编码器时使用的接线方式。项目继续沿用 A→PB0、B→PB1。</w:t>
      </w:r>
    </w:p>
    <w:p>
      <w:pPr>
        <w:pStyle w:val="Note"/>
      </w:pPr>
      <w:r>
        <w:t>注意：本项目不使用“编码器按下 SW”作为 ENTER。你目前这块课程编码器模块按旋转 A/B 使用，因此 ENTER 与 BACK 都使用独立普通按键。</w:t>
      </w:r>
    </w:p>
    <w:p>
      <w:pPr>
        <w:pStyle w:val="Heading1"/>
      </w:pPr>
      <w:r>
        <w:t>3. 需要准备的东西</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402"/>
            <w:vAlign w:val="center"/>
            <w:shd w:fill="D9EAF7"/>
          </w:tcPr>
          <w:p>
            <w:pPr>
              <w:jc w:val="left"/>
            </w:pPr>
            <w:r/>
            <w:r>
              <w:rPr>
                <w:rFonts w:ascii="Microsoft YaHei" w:hAnsi="Microsoft YaHei" w:eastAsia="Microsoft YaHei"/>
                <w:b/>
                <w:sz w:val="19"/>
              </w:rPr>
              <w:t>物品</w:t>
            </w:r>
          </w:p>
        </w:tc>
        <w:tc>
          <w:tcPr>
            <w:tcW w:type="dxa" w:w="1134"/>
            <w:vAlign w:val="center"/>
            <w:shd w:fill="D9EAF7"/>
          </w:tcPr>
          <w:p>
            <w:pPr>
              <w:jc w:val="left"/>
            </w:pPr>
            <w:r/>
            <w:r>
              <w:rPr>
                <w:rFonts w:ascii="Microsoft YaHei" w:hAnsi="Microsoft YaHei" w:eastAsia="Microsoft YaHei"/>
                <w:b/>
                <w:sz w:val="19"/>
              </w:rPr>
              <w:t>数量</w:t>
            </w:r>
          </w:p>
        </w:tc>
        <w:tc>
          <w:tcPr>
            <w:tcW w:type="dxa" w:w="2268"/>
            <w:vAlign w:val="center"/>
            <w:shd w:fill="D9EAF7"/>
          </w:tcPr>
          <w:p>
            <w:pPr>
              <w:jc w:val="left"/>
            </w:pPr>
            <w:r/>
            <w:r>
              <w:rPr>
                <w:rFonts w:ascii="Microsoft YaHei" w:hAnsi="Microsoft YaHei" w:eastAsia="Microsoft YaHei"/>
                <w:b/>
                <w:sz w:val="19"/>
              </w:rPr>
              <w:t>当前是否必须</w:t>
            </w:r>
          </w:p>
        </w:tc>
        <w:tc>
          <w:tcPr>
            <w:tcW w:type="dxa" w:w="3402"/>
            <w:vAlign w:val="center"/>
            <w:shd w:fill="D9EAF7"/>
          </w:tcPr>
          <w:p>
            <w:pPr>
              <w:jc w:val="left"/>
            </w:pPr>
            <w:r/>
            <w:r>
              <w:rPr>
                <w:rFonts w:ascii="Microsoft YaHei" w:hAnsi="Microsoft YaHei" w:eastAsia="Microsoft YaHei"/>
                <w:b/>
                <w:sz w:val="19"/>
              </w:rPr>
              <w:t>用途</w:t>
            </w:r>
          </w:p>
        </w:tc>
      </w:tr>
      <w:tr>
        <w:tc>
          <w:tcPr>
            <w:tcW w:type="dxa" w:w="3402"/>
            <w:vAlign w:val="center"/>
          </w:tcPr>
          <w:p>
            <w:pPr>
              <w:jc w:val="left"/>
            </w:pPr>
            <w:r/>
            <w:r>
              <w:rPr>
                <w:rFonts w:ascii="Microsoft YaHei" w:hAnsi="Microsoft YaHei" w:eastAsia="Microsoft YaHei"/>
                <w:b w:val="0"/>
                <w:sz w:val="19"/>
              </w:rPr>
              <w:t>STM32F103C8T6 最小系统板</w:t>
            </w:r>
          </w:p>
        </w:tc>
        <w:tc>
          <w:tcPr>
            <w:tcW w:type="dxa" w:w="1134"/>
            <w:vAlign w:val="center"/>
          </w:tcPr>
          <w:p>
            <w:pPr>
              <w:jc w:val="left"/>
            </w:pPr>
            <w:r/>
            <w:r>
              <w:rPr>
                <w:rFonts w:ascii="Microsoft YaHei" w:hAnsi="Microsoft YaHei" w:eastAsia="Microsoft YaHei"/>
                <w:b w:val="0"/>
                <w:sz w:val="19"/>
              </w:rPr>
              <w:t>1</w:t>
            </w:r>
          </w:p>
        </w:tc>
        <w:tc>
          <w:tcPr>
            <w:tcW w:type="dxa" w:w="2268"/>
            <w:vAlign w:val="center"/>
          </w:tcPr>
          <w:p>
            <w:pPr>
              <w:jc w:val="left"/>
            </w:pPr>
            <w:r/>
            <w:r>
              <w:rPr>
                <w:rFonts w:ascii="Microsoft YaHei" w:hAnsi="Microsoft YaHei" w:eastAsia="Microsoft YaHei"/>
                <w:b w:val="0"/>
                <w:sz w:val="19"/>
              </w:rPr>
              <w:t>必须</w:t>
            </w:r>
          </w:p>
        </w:tc>
        <w:tc>
          <w:tcPr>
            <w:tcW w:type="dxa" w:w="3402"/>
            <w:vAlign w:val="center"/>
          </w:tcPr>
          <w:p>
            <w:pPr>
              <w:jc w:val="left"/>
            </w:pPr>
            <w:r/>
            <w:r>
              <w:rPr>
                <w:rFonts w:ascii="Microsoft YaHei" w:hAnsi="Microsoft YaHei" w:eastAsia="Microsoft YaHei"/>
                <w:b w:val="0"/>
                <w:sz w:val="19"/>
              </w:rPr>
              <w:t>主控</w:t>
            </w:r>
          </w:p>
        </w:tc>
      </w:tr>
      <w:tr>
        <w:tc>
          <w:tcPr>
            <w:tcW w:type="dxa" w:w="3402"/>
            <w:vAlign w:val="center"/>
          </w:tcPr>
          <w:p>
            <w:pPr>
              <w:jc w:val="left"/>
            </w:pPr>
            <w:r/>
            <w:r>
              <w:rPr>
                <w:rFonts w:ascii="Microsoft YaHei" w:hAnsi="Microsoft YaHei" w:eastAsia="Microsoft YaHei"/>
                <w:b w:val="0"/>
                <w:sz w:val="19"/>
              </w:rPr>
              <w:t>ST-Link</w:t>
            </w:r>
          </w:p>
        </w:tc>
        <w:tc>
          <w:tcPr>
            <w:tcW w:type="dxa" w:w="1134"/>
            <w:vAlign w:val="center"/>
          </w:tcPr>
          <w:p>
            <w:pPr>
              <w:jc w:val="left"/>
            </w:pPr>
            <w:r/>
            <w:r>
              <w:rPr>
                <w:rFonts w:ascii="Microsoft YaHei" w:hAnsi="Microsoft YaHei" w:eastAsia="Microsoft YaHei"/>
                <w:b w:val="0"/>
                <w:sz w:val="19"/>
              </w:rPr>
              <w:t>1</w:t>
            </w:r>
          </w:p>
        </w:tc>
        <w:tc>
          <w:tcPr>
            <w:tcW w:type="dxa" w:w="2268"/>
            <w:vAlign w:val="center"/>
          </w:tcPr>
          <w:p>
            <w:pPr>
              <w:jc w:val="left"/>
            </w:pPr>
            <w:r/>
            <w:r>
              <w:rPr>
                <w:rFonts w:ascii="Microsoft YaHei" w:hAnsi="Microsoft YaHei" w:eastAsia="Microsoft YaHei"/>
                <w:b w:val="0"/>
                <w:sz w:val="19"/>
              </w:rPr>
              <w:t>必须</w:t>
            </w:r>
          </w:p>
        </w:tc>
        <w:tc>
          <w:tcPr>
            <w:tcW w:type="dxa" w:w="3402"/>
            <w:vAlign w:val="center"/>
          </w:tcPr>
          <w:p>
            <w:pPr>
              <w:jc w:val="left"/>
            </w:pPr>
            <w:r/>
            <w:r>
              <w:rPr>
                <w:rFonts w:ascii="Microsoft YaHei" w:hAnsi="Microsoft YaHei" w:eastAsia="Microsoft YaHei"/>
                <w:b w:val="0"/>
                <w:sz w:val="19"/>
              </w:rPr>
              <w:t>下载与调试</w:t>
            </w:r>
          </w:p>
        </w:tc>
      </w:tr>
      <w:tr>
        <w:tc>
          <w:tcPr>
            <w:tcW w:type="dxa" w:w="3402"/>
            <w:vAlign w:val="center"/>
          </w:tcPr>
          <w:p>
            <w:pPr>
              <w:jc w:val="left"/>
            </w:pPr>
            <w:r/>
            <w:r>
              <w:rPr>
                <w:rFonts w:ascii="Microsoft YaHei" w:hAnsi="Microsoft YaHei" w:eastAsia="Microsoft YaHei"/>
                <w:b w:val="0"/>
                <w:sz w:val="19"/>
              </w:rPr>
              <w:t>0.96 寸 128×64 OLED</w:t>
            </w:r>
          </w:p>
        </w:tc>
        <w:tc>
          <w:tcPr>
            <w:tcW w:type="dxa" w:w="1134"/>
            <w:vAlign w:val="center"/>
          </w:tcPr>
          <w:p>
            <w:pPr>
              <w:jc w:val="left"/>
            </w:pPr>
            <w:r/>
            <w:r>
              <w:rPr>
                <w:rFonts w:ascii="Microsoft YaHei" w:hAnsi="Microsoft YaHei" w:eastAsia="Microsoft YaHei"/>
                <w:b w:val="0"/>
                <w:sz w:val="19"/>
              </w:rPr>
              <w:t>1</w:t>
            </w:r>
          </w:p>
        </w:tc>
        <w:tc>
          <w:tcPr>
            <w:tcW w:type="dxa" w:w="2268"/>
            <w:vAlign w:val="center"/>
          </w:tcPr>
          <w:p>
            <w:pPr>
              <w:jc w:val="left"/>
            </w:pPr>
            <w:r/>
            <w:r>
              <w:rPr>
                <w:rFonts w:ascii="Microsoft YaHei" w:hAnsi="Microsoft YaHei" w:eastAsia="Microsoft YaHei"/>
                <w:b w:val="0"/>
                <w:sz w:val="19"/>
              </w:rPr>
              <w:t>必须</w:t>
            </w:r>
          </w:p>
        </w:tc>
        <w:tc>
          <w:tcPr>
            <w:tcW w:type="dxa" w:w="3402"/>
            <w:vAlign w:val="center"/>
          </w:tcPr>
          <w:p>
            <w:pPr>
              <w:jc w:val="left"/>
            </w:pPr>
            <w:r/>
            <w:r>
              <w:rPr>
                <w:rFonts w:ascii="Microsoft YaHei" w:hAnsi="Microsoft YaHei" w:eastAsia="Microsoft YaHei"/>
                <w:b w:val="0"/>
                <w:sz w:val="19"/>
              </w:rPr>
              <w:t>菜单显示</w:t>
            </w:r>
          </w:p>
        </w:tc>
      </w:tr>
      <w:tr>
        <w:tc>
          <w:tcPr>
            <w:tcW w:type="dxa" w:w="3402"/>
            <w:vAlign w:val="center"/>
          </w:tcPr>
          <w:p>
            <w:pPr>
              <w:jc w:val="left"/>
            </w:pPr>
            <w:r/>
            <w:r>
              <w:rPr>
                <w:rFonts w:ascii="Microsoft YaHei" w:hAnsi="Microsoft YaHei" w:eastAsia="Microsoft YaHei"/>
                <w:b w:val="0"/>
                <w:sz w:val="19"/>
              </w:rPr>
              <w:t>江协课程同款旋转编码器模块</w:t>
            </w:r>
          </w:p>
        </w:tc>
        <w:tc>
          <w:tcPr>
            <w:tcW w:type="dxa" w:w="1134"/>
            <w:vAlign w:val="center"/>
          </w:tcPr>
          <w:p>
            <w:pPr>
              <w:jc w:val="left"/>
            </w:pPr>
            <w:r/>
            <w:r>
              <w:rPr>
                <w:rFonts w:ascii="Microsoft YaHei" w:hAnsi="Microsoft YaHei" w:eastAsia="Microsoft YaHei"/>
                <w:b w:val="0"/>
                <w:sz w:val="19"/>
              </w:rPr>
              <w:t>1</w:t>
            </w:r>
          </w:p>
        </w:tc>
        <w:tc>
          <w:tcPr>
            <w:tcW w:type="dxa" w:w="2268"/>
            <w:vAlign w:val="center"/>
          </w:tcPr>
          <w:p>
            <w:pPr>
              <w:jc w:val="left"/>
            </w:pPr>
            <w:r/>
            <w:r>
              <w:rPr>
                <w:rFonts w:ascii="Microsoft YaHei" w:hAnsi="Microsoft YaHei" w:eastAsia="Microsoft YaHei"/>
                <w:b w:val="0"/>
                <w:sz w:val="19"/>
              </w:rPr>
              <w:t>必须</w:t>
            </w:r>
          </w:p>
        </w:tc>
        <w:tc>
          <w:tcPr>
            <w:tcW w:type="dxa" w:w="3402"/>
            <w:vAlign w:val="center"/>
          </w:tcPr>
          <w:p>
            <w:pPr>
              <w:jc w:val="left"/>
            </w:pPr>
            <w:r/>
            <w:r>
              <w:rPr>
                <w:rFonts w:ascii="Microsoft YaHei" w:hAnsi="Microsoft YaHei" w:eastAsia="Microsoft YaHei"/>
                <w:b w:val="0"/>
                <w:sz w:val="19"/>
              </w:rPr>
              <w:t>菜单滚动选择</w:t>
            </w:r>
          </w:p>
        </w:tc>
      </w:tr>
      <w:tr>
        <w:tc>
          <w:tcPr>
            <w:tcW w:type="dxa" w:w="3402"/>
            <w:vAlign w:val="center"/>
          </w:tcPr>
          <w:p>
            <w:pPr>
              <w:jc w:val="left"/>
            </w:pPr>
            <w:r/>
            <w:r>
              <w:rPr>
                <w:rFonts w:ascii="Microsoft YaHei" w:hAnsi="Microsoft YaHei" w:eastAsia="Microsoft YaHei"/>
                <w:b w:val="0"/>
                <w:sz w:val="19"/>
              </w:rPr>
              <w:t>普通轻触按键</w:t>
            </w:r>
          </w:p>
        </w:tc>
        <w:tc>
          <w:tcPr>
            <w:tcW w:type="dxa" w:w="1134"/>
            <w:vAlign w:val="center"/>
          </w:tcPr>
          <w:p>
            <w:pPr>
              <w:jc w:val="left"/>
            </w:pPr>
            <w:r/>
            <w:r>
              <w:rPr>
                <w:rFonts w:ascii="Microsoft YaHei" w:hAnsi="Microsoft YaHei" w:eastAsia="Microsoft YaHei"/>
                <w:b w:val="0"/>
                <w:sz w:val="19"/>
              </w:rPr>
              <w:t>2</w:t>
            </w:r>
          </w:p>
        </w:tc>
        <w:tc>
          <w:tcPr>
            <w:tcW w:type="dxa" w:w="2268"/>
            <w:vAlign w:val="center"/>
          </w:tcPr>
          <w:p>
            <w:pPr>
              <w:jc w:val="left"/>
            </w:pPr>
            <w:r/>
            <w:r>
              <w:rPr>
                <w:rFonts w:ascii="Microsoft YaHei" w:hAnsi="Microsoft YaHei" w:eastAsia="Microsoft YaHei"/>
                <w:b w:val="0"/>
                <w:sz w:val="19"/>
              </w:rPr>
              <w:t>必须</w:t>
            </w:r>
          </w:p>
        </w:tc>
        <w:tc>
          <w:tcPr>
            <w:tcW w:type="dxa" w:w="3402"/>
            <w:vAlign w:val="center"/>
          </w:tcPr>
          <w:p>
            <w:pPr>
              <w:jc w:val="left"/>
            </w:pPr>
            <w:r/>
            <w:r>
              <w:rPr>
                <w:rFonts w:ascii="Microsoft YaHei" w:hAnsi="Microsoft YaHei" w:eastAsia="Microsoft YaHei"/>
                <w:b w:val="0"/>
                <w:sz w:val="19"/>
              </w:rPr>
              <w:t>ENTER / BACK</w:t>
            </w:r>
          </w:p>
        </w:tc>
      </w:tr>
      <w:tr>
        <w:tc>
          <w:tcPr>
            <w:tcW w:type="dxa" w:w="3402"/>
            <w:vAlign w:val="center"/>
          </w:tcPr>
          <w:p>
            <w:pPr>
              <w:jc w:val="left"/>
            </w:pPr>
            <w:r/>
            <w:r>
              <w:rPr>
                <w:rFonts w:ascii="Microsoft YaHei" w:hAnsi="Microsoft YaHei" w:eastAsia="Microsoft YaHei"/>
                <w:b w:val="0"/>
                <w:sz w:val="19"/>
              </w:rPr>
              <w:t>面包板、杜邦线</w:t>
            </w:r>
          </w:p>
        </w:tc>
        <w:tc>
          <w:tcPr>
            <w:tcW w:type="dxa" w:w="1134"/>
            <w:vAlign w:val="center"/>
          </w:tcPr>
          <w:p>
            <w:pPr>
              <w:jc w:val="left"/>
            </w:pPr>
            <w:r/>
            <w:r>
              <w:rPr>
                <w:rFonts w:ascii="Microsoft YaHei" w:hAnsi="Microsoft YaHei" w:eastAsia="Microsoft YaHei"/>
                <w:b w:val="0"/>
                <w:sz w:val="19"/>
              </w:rPr>
              <w:t>若干</w:t>
            </w:r>
          </w:p>
        </w:tc>
        <w:tc>
          <w:tcPr>
            <w:tcW w:type="dxa" w:w="2268"/>
            <w:vAlign w:val="center"/>
          </w:tcPr>
          <w:p>
            <w:pPr>
              <w:jc w:val="left"/>
            </w:pPr>
            <w:r/>
            <w:r>
              <w:rPr>
                <w:rFonts w:ascii="Microsoft YaHei" w:hAnsi="Microsoft YaHei" w:eastAsia="Microsoft YaHei"/>
                <w:b w:val="0"/>
                <w:sz w:val="19"/>
              </w:rPr>
              <w:t>必须</w:t>
            </w:r>
          </w:p>
        </w:tc>
        <w:tc>
          <w:tcPr>
            <w:tcW w:type="dxa" w:w="3402"/>
            <w:vAlign w:val="center"/>
          </w:tcPr>
          <w:p>
            <w:pPr>
              <w:jc w:val="left"/>
            </w:pPr>
            <w:r/>
            <w:r>
              <w:rPr>
                <w:rFonts w:ascii="Microsoft YaHei" w:hAnsi="Microsoft YaHei" w:eastAsia="Microsoft YaHei"/>
                <w:b w:val="0"/>
                <w:sz w:val="19"/>
              </w:rPr>
              <w:t>搭建电路</w:t>
            </w:r>
          </w:p>
        </w:tc>
      </w:tr>
      <w:tr>
        <w:tc>
          <w:tcPr>
            <w:tcW w:type="dxa" w:w="3402"/>
            <w:vAlign w:val="center"/>
          </w:tcPr>
          <w:p>
            <w:pPr>
              <w:jc w:val="left"/>
            </w:pPr>
            <w:r/>
            <w:r>
              <w:rPr>
                <w:rFonts w:ascii="Microsoft YaHei" w:hAnsi="Microsoft YaHei" w:eastAsia="Microsoft YaHei"/>
                <w:b w:val="0"/>
                <w:sz w:val="19"/>
              </w:rPr>
              <w:t>10k 电位器</w:t>
            </w:r>
          </w:p>
        </w:tc>
        <w:tc>
          <w:tcPr>
            <w:tcW w:type="dxa" w:w="1134"/>
            <w:vAlign w:val="center"/>
          </w:tcPr>
          <w:p>
            <w:pPr>
              <w:jc w:val="left"/>
            </w:pPr>
            <w:r/>
            <w:r>
              <w:rPr>
                <w:rFonts w:ascii="Microsoft YaHei" w:hAnsi="Microsoft YaHei" w:eastAsia="Microsoft YaHei"/>
                <w:b w:val="0"/>
                <w:sz w:val="19"/>
              </w:rPr>
              <w:t>1</w:t>
            </w:r>
          </w:p>
        </w:tc>
        <w:tc>
          <w:tcPr>
            <w:tcW w:type="dxa" w:w="2268"/>
            <w:vAlign w:val="center"/>
          </w:tcPr>
          <w:p>
            <w:pPr>
              <w:jc w:val="left"/>
            </w:pPr>
            <w:r/>
            <w:r>
              <w:rPr>
                <w:rFonts w:ascii="Microsoft YaHei" w:hAnsi="Microsoft YaHei" w:eastAsia="Microsoft YaHei"/>
                <w:b w:val="0"/>
                <w:sz w:val="19"/>
              </w:rPr>
              <w:t>第 10 关再用</w:t>
            </w:r>
          </w:p>
        </w:tc>
        <w:tc>
          <w:tcPr>
            <w:tcW w:type="dxa" w:w="3402"/>
            <w:vAlign w:val="center"/>
          </w:tcPr>
          <w:p>
            <w:pPr>
              <w:jc w:val="left"/>
            </w:pPr>
            <w:r/>
            <w:r>
              <w:rPr>
                <w:rFonts w:ascii="Microsoft YaHei" w:hAnsi="Microsoft YaHei" w:eastAsia="Microsoft YaHei"/>
                <w:b w:val="0"/>
                <w:sz w:val="19"/>
              </w:rPr>
              <w:t>ADC</w:t>
            </w:r>
          </w:p>
        </w:tc>
      </w:tr>
      <w:tr>
        <w:tc>
          <w:tcPr>
            <w:tcW w:type="dxa" w:w="3402"/>
            <w:vAlign w:val="center"/>
          </w:tcPr>
          <w:p>
            <w:pPr>
              <w:jc w:val="left"/>
            </w:pPr>
            <w:r/>
            <w:r>
              <w:rPr>
                <w:rFonts w:ascii="Microsoft YaHei" w:hAnsi="Microsoft YaHei" w:eastAsia="Microsoft YaHei"/>
                <w:b w:val="0"/>
                <w:sz w:val="19"/>
              </w:rPr>
              <w:t>MPU6050 / GY-521</w:t>
            </w:r>
          </w:p>
        </w:tc>
        <w:tc>
          <w:tcPr>
            <w:tcW w:type="dxa" w:w="1134"/>
            <w:vAlign w:val="center"/>
          </w:tcPr>
          <w:p>
            <w:pPr>
              <w:jc w:val="left"/>
            </w:pPr>
            <w:r/>
            <w:r>
              <w:rPr>
                <w:rFonts w:ascii="Microsoft YaHei" w:hAnsi="Microsoft YaHei" w:eastAsia="Microsoft YaHei"/>
                <w:b w:val="0"/>
                <w:sz w:val="19"/>
              </w:rPr>
              <w:t>1</w:t>
            </w:r>
          </w:p>
        </w:tc>
        <w:tc>
          <w:tcPr>
            <w:tcW w:type="dxa" w:w="2268"/>
            <w:vAlign w:val="center"/>
          </w:tcPr>
          <w:p>
            <w:pPr>
              <w:jc w:val="left"/>
            </w:pPr>
            <w:r/>
            <w:r>
              <w:rPr>
                <w:rFonts w:ascii="Microsoft YaHei" w:hAnsi="Microsoft YaHei" w:eastAsia="Microsoft YaHei"/>
                <w:b w:val="0"/>
                <w:sz w:val="19"/>
              </w:rPr>
              <w:t>第 11 关再用</w:t>
            </w:r>
          </w:p>
        </w:tc>
        <w:tc>
          <w:tcPr>
            <w:tcW w:type="dxa" w:w="3402"/>
            <w:vAlign w:val="center"/>
          </w:tcPr>
          <w:p>
            <w:pPr>
              <w:jc w:val="left"/>
            </w:pPr>
            <w:r/>
            <w:r>
              <w:rPr>
                <w:rFonts w:ascii="Microsoft YaHei" w:hAnsi="Microsoft YaHei" w:eastAsia="Microsoft YaHei"/>
                <w:b w:val="0"/>
                <w:sz w:val="19"/>
              </w:rPr>
              <w:t>I2C 传感器</w:t>
            </w:r>
          </w:p>
        </w:tc>
      </w:tr>
      <w:tr>
        <w:tc>
          <w:tcPr>
            <w:tcW w:type="dxa" w:w="3402"/>
            <w:vAlign w:val="center"/>
          </w:tcPr>
          <w:p>
            <w:pPr>
              <w:jc w:val="left"/>
            </w:pPr>
            <w:r/>
            <w:r>
              <w:rPr>
                <w:rFonts w:ascii="Microsoft YaHei" w:hAnsi="Microsoft YaHei" w:eastAsia="Microsoft YaHei"/>
                <w:b w:val="0"/>
                <w:sz w:val="19"/>
              </w:rPr>
              <w:t>LED + 220Ω~1kΩ 电阻</w:t>
            </w:r>
          </w:p>
        </w:tc>
        <w:tc>
          <w:tcPr>
            <w:tcW w:type="dxa" w:w="1134"/>
            <w:vAlign w:val="center"/>
          </w:tcPr>
          <w:p>
            <w:pPr>
              <w:jc w:val="left"/>
            </w:pPr>
            <w:r/>
            <w:r>
              <w:rPr>
                <w:rFonts w:ascii="Microsoft YaHei" w:hAnsi="Microsoft YaHei" w:eastAsia="Microsoft YaHei"/>
                <w:b w:val="0"/>
                <w:sz w:val="19"/>
              </w:rPr>
              <w:t>1 组</w:t>
            </w:r>
          </w:p>
        </w:tc>
        <w:tc>
          <w:tcPr>
            <w:tcW w:type="dxa" w:w="2268"/>
            <w:vAlign w:val="center"/>
          </w:tcPr>
          <w:p>
            <w:pPr>
              <w:jc w:val="left"/>
            </w:pPr>
            <w:r/>
            <w:r>
              <w:rPr>
                <w:rFonts w:ascii="Microsoft YaHei" w:hAnsi="Microsoft YaHei" w:eastAsia="Microsoft YaHei"/>
                <w:b w:val="0"/>
                <w:sz w:val="19"/>
              </w:rPr>
              <w:t>第 12 关再用</w:t>
            </w:r>
          </w:p>
        </w:tc>
        <w:tc>
          <w:tcPr>
            <w:tcW w:type="dxa" w:w="3402"/>
            <w:vAlign w:val="center"/>
          </w:tcPr>
          <w:p>
            <w:pPr>
              <w:jc w:val="left"/>
            </w:pPr>
            <w:r/>
            <w:r>
              <w:rPr>
                <w:rFonts w:ascii="Microsoft YaHei" w:hAnsi="Microsoft YaHei" w:eastAsia="Microsoft YaHei"/>
                <w:b w:val="0"/>
                <w:sz w:val="19"/>
              </w:rPr>
              <w:t>PWM</w:t>
            </w:r>
          </w:p>
        </w:tc>
      </w:tr>
      <w:tr>
        <w:tc>
          <w:tcPr>
            <w:tcW w:type="dxa" w:w="3402"/>
            <w:vAlign w:val="center"/>
          </w:tcPr>
          <w:p>
            <w:pPr>
              <w:jc w:val="left"/>
            </w:pPr>
            <w:r/>
            <w:r>
              <w:rPr>
                <w:rFonts w:ascii="Microsoft YaHei" w:hAnsi="Microsoft YaHei" w:eastAsia="Microsoft YaHei"/>
                <w:b w:val="0"/>
                <w:sz w:val="19"/>
              </w:rPr>
              <w:t>USB-TTL</w:t>
            </w:r>
          </w:p>
        </w:tc>
        <w:tc>
          <w:tcPr>
            <w:tcW w:type="dxa" w:w="1134"/>
            <w:vAlign w:val="center"/>
          </w:tcPr>
          <w:p>
            <w:pPr>
              <w:jc w:val="left"/>
            </w:pPr>
            <w:r/>
            <w:r>
              <w:rPr>
                <w:rFonts w:ascii="Microsoft YaHei" w:hAnsi="Microsoft YaHei" w:eastAsia="Microsoft YaHei"/>
                <w:b w:val="0"/>
                <w:sz w:val="19"/>
              </w:rPr>
              <w:t>1</w:t>
            </w:r>
          </w:p>
        </w:tc>
        <w:tc>
          <w:tcPr>
            <w:tcW w:type="dxa" w:w="2268"/>
            <w:vAlign w:val="center"/>
          </w:tcPr>
          <w:p>
            <w:pPr>
              <w:jc w:val="left"/>
            </w:pPr>
            <w:r/>
            <w:r>
              <w:rPr>
                <w:rFonts w:ascii="Microsoft YaHei" w:hAnsi="Microsoft YaHei" w:eastAsia="Microsoft YaHei"/>
                <w:b w:val="0"/>
                <w:sz w:val="19"/>
              </w:rPr>
              <w:t>第 16 关再用</w:t>
            </w:r>
          </w:p>
        </w:tc>
        <w:tc>
          <w:tcPr>
            <w:tcW w:type="dxa" w:w="3402"/>
            <w:vAlign w:val="center"/>
          </w:tcPr>
          <w:p>
            <w:pPr>
              <w:jc w:val="left"/>
            </w:pPr>
            <w:r/>
            <w:r>
              <w:rPr>
                <w:rFonts w:ascii="Microsoft YaHei" w:hAnsi="Microsoft YaHei" w:eastAsia="Microsoft YaHei"/>
                <w:b w:val="0"/>
                <w:sz w:val="19"/>
              </w:rPr>
              <w:t>串口调试</w:t>
            </w:r>
          </w:p>
        </w:tc>
      </w:tr>
    </w:tbl>
    <w:p/>
    <w:p>
      <w:pPr>
        <w:pStyle w:val="Heading1"/>
        <w:pageBreakBefore/>
      </w:pPr>
      <w:r>
        <w:t>4. 工程目录目标</w:t>
      </w:r>
    </w:p>
    <w:p>
      <w:pPr>
        <w:pStyle w:val="CodeBlock"/>
        <w:keepLines/>
        <w:shd w:fill="F3F5F7"/>
      </w:pPr>
      <w:r>
        <w:t>STM32_Menu_Project</w:t>
        <w:br/>
        <w:t>├── Hardware</w:t>
        <w:br/>
        <w:t>│   ├── OLED.c / OLED.h</w:t>
        <w:br/>
        <w:t>│   ├── Encoder.c / Encoder.h</w:t>
        <w:br/>
        <w:t>│   ├── Key.c / Key.h</w:t>
        <w:br/>
        <w:t>│   ├── ADC.c / ADC.h</w:t>
        <w:br/>
        <w:t>│   ├── PWM.c / PWM.h</w:t>
        <w:br/>
        <w:t>│   ├── MPU6050.c / MPU6050.h</w:t>
        <w:br/>
        <w:t>│   ├── MyI2C.c / MyI2C.h</w:t>
        <w:br/>
        <w:t>│   └── Serial.c / Serial.h</w:t>
        <w:br/>
        <w:t>├── System</w:t>
        <w:br/>
        <w:t>│   ├── Delay.c / Delay.h</w:t>
        <w:br/>
        <w:t>│   ├── Timer.c / Timer.h</w:t>
        <w:br/>
        <w:t>│   └── Menu.c / Menu.h</w:t>
        <w:br/>
        <w:t>├── Library</w:t>
        <w:br/>
        <w:t>├── Start</w:t>
        <w:br/>
        <w:t>└── User</w:t>
        <w:br/>
        <w:t xml:space="preserve">    └── main.c</w:t>
      </w:r>
    </w:p>
    <w:p>
      <w:r>
        <w:t>原则：main.c 只负责初始化和顶层调度，不把所有菜单、外设、页面逻辑都塞进 while(1)。</w:t>
      </w:r>
    </w:p>
    <w:p>
      <w:pPr>
        <w:pStyle w:val="Heading1"/>
      </w:pPr>
      <w:r>
        <w:t>第 0 关：建立干净的标准库工程</w:t>
      </w:r>
    </w:p>
    <w:p>
      <w:r>
        <w:rPr>
          <w:b/>
        </w:rPr>
        <w:t>目标：</w:t>
      </w:r>
      <w:r>
        <w:t>建立可以正常编译、下载、运行的 STM32F103C8T6 Keil5 标准库工程。</w:t>
      </w:r>
    </w:p>
    <w:p>
      <w:pPr>
        <w:pStyle w:val="Heading2"/>
      </w:pPr>
      <w:r>
        <w:t>功能要求</w:t>
      </w:r>
    </w:p>
    <w:p>
      <w:pPr>
        <w:pStyle w:val="ListBullet"/>
        <w:spacing w:after="20"/>
      </w:pPr>
      <w:r>
        <w:t>芯片选择 STM32F103C8T6。</w:t>
      </w:r>
    </w:p>
    <w:p>
      <w:pPr>
        <w:pStyle w:val="ListBullet"/>
        <w:spacing w:after="20"/>
      </w:pPr>
      <w:r>
        <w:t>使用 STM32F10x Standard Peripheral Library，不使用 HAL / CubeMX。</w:t>
      </w:r>
    </w:p>
    <w:p>
      <w:pPr>
        <w:pStyle w:val="ListBullet"/>
        <w:spacing w:after="20"/>
      </w:pPr>
      <w:r>
        <w:t>至少建立 User、Hardware、System、Library、Start 目录。</w:t>
      </w:r>
    </w:p>
    <w:p>
      <w:pPr>
        <w:pStyle w:val="Heading2"/>
      </w:pPr>
      <w:r>
        <w:t>你必须自己完成</w:t>
      </w:r>
    </w:p>
    <w:p>
      <w:pPr>
        <w:pStyle w:val="ListBullet"/>
        <w:spacing w:after="20"/>
      </w:pPr>
      <w:r>
        <w:t>自己建立工程分组和头文件路径。</w:t>
      </w:r>
    </w:p>
    <w:p>
      <w:pPr>
        <w:pStyle w:val="ListBullet"/>
        <w:spacing w:after="20"/>
      </w:pPr>
      <w:r>
        <w:t>确认启动文件、system_stm32f10x.c、标准库源文件配置正确。</w:t>
      </w:r>
    </w:p>
    <w:p>
      <w:pPr>
        <w:pStyle w:val="Heading2"/>
      </w:pPr>
      <w:r>
        <w:t>验收标准</w:t>
      </w:r>
    </w:p>
    <w:p>
      <w:pPr>
        <w:spacing w:after="20"/>
        <w:ind w:left="283"/>
      </w:pPr>
      <w:r>
        <w:t>☐ Keil 编译 0 Error。</w:t>
      </w:r>
    </w:p>
    <w:p>
      <w:pPr>
        <w:spacing w:after="20"/>
        <w:ind w:left="283"/>
      </w:pPr>
      <w:r>
        <w:t>☐ ST-Link 可以正常下载。</w:t>
      </w:r>
    </w:p>
    <w:p>
      <w:pPr>
        <w:spacing w:after="20"/>
        <w:ind w:left="283"/>
      </w:pPr>
      <w:r>
        <w:t>☐ 复位后程序稳定运行。</w:t>
      </w:r>
    </w:p>
    <w:p>
      <w:pPr>
        <w:pStyle w:val="Heading2"/>
      </w:pPr>
      <w:r>
        <w:t>卡住时先检查</w:t>
      </w:r>
    </w:p>
    <w:p>
      <w:pPr>
        <w:pStyle w:val="ListBullet"/>
        <w:spacing w:after="20"/>
      </w:pPr>
      <w:r>
        <w:t>先确认芯片型号和启动文件是否匹配。</w:t>
      </w:r>
    </w:p>
    <w:p>
      <w:pPr>
        <w:pStyle w:val="ListBullet"/>
        <w:spacing w:after="20"/>
      </w:pPr>
      <w:r>
        <w:t>若大量标准库函数未定义，先检查库文件和头文件路径。</w:t>
      </w:r>
    </w:p>
    <w:p>
      <w:pPr>
        <w:pStyle w:val="Heading1"/>
      </w:pPr>
      <w:r>
        <w:t>第 1 关：OLED 基础显示</w:t>
      </w:r>
    </w:p>
    <w:p>
      <w:r>
        <w:rPr>
          <w:b/>
        </w:rPr>
        <w:t>目标：</w:t>
      </w:r>
      <w:r>
        <w:t>用 PB8/PB9 软件 I2C 驱动 OLED，并完成稳定字符显示。</w:t>
      </w:r>
    </w:p>
    <w:p>
      <w:pPr>
        <w:pStyle w:val="Heading2"/>
      </w:pPr>
      <w:r>
        <w:t>允许复用</w:t>
      </w:r>
    </w:p>
    <w:p>
      <w:pPr>
        <w:pStyle w:val="ListBullet"/>
        <w:spacing w:after="20"/>
      </w:pPr>
      <w:r>
        <w:t>可以直接复用你江协课程中已经学过并理解的 OLED / 软件 I2C 驱动。</w:t>
      </w:r>
    </w:p>
    <w:p>
      <w:pPr>
        <w:pStyle w:val="Heading2"/>
      </w:pPr>
      <w:r>
        <w:t>功能要求</w:t>
      </w:r>
    </w:p>
    <w:p>
      <w:pPr>
        <w:pStyle w:val="ListBullet"/>
        <w:spacing w:after="20"/>
      </w:pPr>
      <w:r>
        <w:t>PB8 作为 SCL，PB9 作为 SDA。</w:t>
      </w:r>
    </w:p>
    <w:p>
      <w:pPr>
        <w:pStyle w:val="ListBullet"/>
        <w:spacing w:after="20"/>
      </w:pPr>
      <w:r>
        <w:t>上电后显示两行固定文本：STM32 PROJECT、OLED OK。</w:t>
      </w:r>
    </w:p>
    <w:p>
      <w:pPr>
        <w:pStyle w:val="Heading2"/>
      </w:pPr>
      <w:r>
        <w:t>你必须自己完成</w:t>
      </w:r>
    </w:p>
    <w:p>
      <w:pPr>
        <w:pStyle w:val="ListBullet"/>
        <w:spacing w:after="20"/>
      </w:pPr>
      <w:r>
        <w:t>完成 OLED 初始化调用与 main.c 组织。</w:t>
      </w:r>
    </w:p>
    <w:p>
      <w:pPr>
        <w:pStyle w:val="ListBullet"/>
        <w:spacing w:after="20"/>
      </w:pPr>
      <w:r>
        <w:t>确认 OLED 的供电、共地、SCL/SDA 连接正确。</w:t>
      </w:r>
    </w:p>
    <w:p>
      <w:pPr>
        <w:pStyle w:val="Heading2"/>
      </w:pPr>
      <w:r>
        <w:t>验收标准</w:t>
      </w:r>
    </w:p>
    <w:p>
      <w:pPr>
        <w:spacing w:after="20"/>
        <w:ind w:left="283"/>
      </w:pPr>
      <w:r>
        <w:t>☐ OLED 正常点亮。</w:t>
      </w:r>
    </w:p>
    <w:p>
      <w:pPr>
        <w:spacing w:after="20"/>
        <w:ind w:left="283"/>
      </w:pPr>
      <w:r>
        <w:t>☐ 字符清晰稳定、不乱屏。</w:t>
      </w:r>
    </w:p>
    <w:p>
      <w:pPr>
        <w:spacing w:after="20"/>
        <w:ind w:left="283"/>
      </w:pPr>
      <w:r>
        <w:t>☐ 反复复位后都能正常显示。</w:t>
      </w:r>
    </w:p>
    <w:p>
      <w:pPr>
        <w:pStyle w:val="Heading2"/>
      </w:pPr>
      <w:r>
        <w:t>卡住时先检查</w:t>
      </w:r>
    </w:p>
    <w:p>
      <w:pPr>
        <w:pStyle w:val="ListBullet"/>
        <w:spacing w:after="20"/>
      </w:pPr>
      <w:r>
        <w:t>屏幕不亮先查 VCC/GND 和 I2C 引脚，不要先改大量代码。</w:t>
      </w:r>
    </w:p>
    <w:p>
      <w:pPr>
        <w:pStyle w:val="ListBullet"/>
        <w:spacing w:after="20"/>
      </w:pPr>
      <w:r>
        <w:t>确认你的 OLED 地址与课程驱动一致。</w:t>
      </w:r>
    </w:p>
    <w:p>
      <w:pPr>
        <w:pStyle w:val="Heading1"/>
      </w:pPr>
      <w:r>
        <w:t>第 2 关：旋转编码器单独测试</w:t>
      </w:r>
    </w:p>
    <w:p>
      <w:r>
        <w:rPr>
          <w:b/>
        </w:rPr>
        <w:t>目标：</w:t>
      </w:r>
      <w:r>
        <w:t>把你已经学过的旋转编码器真正移植到这个工程中，只验证顺时针和逆时针。</w:t>
      </w:r>
    </w:p>
    <w:p>
      <w:pPr>
        <w:pStyle w:val="Heading2"/>
      </w:pPr>
      <w:r>
        <w:t>允许复用</w:t>
      </w:r>
    </w:p>
    <w:p>
      <w:pPr>
        <w:pStyle w:val="ListBullet"/>
        <w:spacing w:after="20"/>
      </w:pPr>
      <w:r>
        <w:t>允许复用江协课程的 Encoder.c / Encoder.h 思路和 EXTI 配置，但要求你能解释每一步。</w:t>
      </w:r>
    </w:p>
    <w:p>
      <w:pPr>
        <w:pStyle w:val="Heading2"/>
      </w:pPr>
      <w:r>
        <w:t>功能要求</w:t>
      </w:r>
    </w:p>
    <w:p>
      <w:pPr>
        <w:pStyle w:val="ListBullet"/>
        <w:spacing w:after="20"/>
      </w:pPr>
      <w:r>
        <w:t>A → PB0，B → PB1。</w:t>
      </w:r>
    </w:p>
    <w:p>
      <w:pPr>
        <w:pStyle w:val="ListBullet"/>
        <w:spacing w:after="20"/>
      </w:pPr>
      <w:r>
        <w:t>通过外部中断检测旋转方向。</w:t>
      </w:r>
    </w:p>
    <w:p>
      <w:pPr>
        <w:pStyle w:val="ListBullet"/>
        <w:spacing w:after="20"/>
      </w:pPr>
      <w:r>
        <w:t>每旋转一个有效格，程序产生 +1 或 -1 的增量。</w:t>
      </w:r>
    </w:p>
    <w:p>
      <w:pPr>
        <w:pStyle w:val="ListBullet"/>
        <w:spacing w:after="20"/>
      </w:pPr>
      <w:r>
        <w:t>OLED 上显示累计数字 Num。</w:t>
      </w:r>
    </w:p>
    <w:p>
      <w:pPr>
        <w:pStyle w:val="Heading2"/>
      </w:pPr>
      <w:r>
        <w:t>你必须自己完成</w:t>
      </w:r>
    </w:p>
    <w:p>
      <w:pPr>
        <w:pStyle w:val="ListBullet"/>
        <w:spacing w:after="20"/>
      </w:pPr>
      <w:r>
        <w:t>完成 GPIO、AFIO、EXTI、NVIC 的配置。</w:t>
      </w:r>
    </w:p>
    <w:p>
      <w:pPr>
        <w:pStyle w:val="ListBullet"/>
        <w:spacing w:after="20"/>
      </w:pPr>
      <w:r>
        <w:t>明确 PB0/PB1 分别对应哪条 EXTI Line。</w:t>
      </w:r>
    </w:p>
    <w:p>
      <w:pPr>
        <w:pStyle w:val="ListBullet"/>
        <w:spacing w:after="20"/>
      </w:pPr>
      <w:r>
        <w:t>理解为什么一个通道触发时要读取另一个通道判断方向。</w:t>
      </w:r>
    </w:p>
    <w:p>
      <w:pPr>
        <w:pStyle w:val="Heading2"/>
      </w:pPr>
      <w:r>
        <w:t>验收标准</w:t>
      </w:r>
    </w:p>
    <w:p>
      <w:pPr>
        <w:spacing w:after="20"/>
        <w:ind w:left="283"/>
      </w:pPr>
      <w:r>
        <w:t>☐ 顺时针每格只改变一次 Num。</w:t>
      </w:r>
    </w:p>
    <w:p>
      <w:pPr>
        <w:spacing w:after="20"/>
        <w:ind w:left="283"/>
      </w:pPr>
      <w:r>
        <w:t>☐ 逆时针方向相反。</w:t>
      </w:r>
    </w:p>
    <w:p>
      <w:pPr>
        <w:spacing w:after="20"/>
        <w:ind w:left="283"/>
      </w:pPr>
      <w:r>
        <w:t>☐ 慢转和正常速度旋转都不会明显漏计或乱跳。</w:t>
      </w:r>
    </w:p>
    <w:p>
      <w:pPr>
        <w:pStyle w:val="Heading2"/>
      </w:pPr>
      <w:r>
        <w:t>卡住时先检查</w:t>
      </w:r>
    </w:p>
    <w:p>
      <w:pPr>
        <w:pStyle w:val="ListBullet"/>
        <w:spacing w:after="20"/>
      </w:pPr>
      <w:r>
        <w:t>如果一个格跳两次，先检查课程编码器的触发方式与机械抖动。</w:t>
      </w:r>
    </w:p>
    <w:p>
      <w:pPr>
        <w:pStyle w:val="ListBullet"/>
        <w:spacing w:after="20"/>
      </w:pPr>
      <w:r>
        <w:t>如果方向相反，不一定是错，先统一项目定义即可。</w:t>
      </w:r>
    </w:p>
    <w:p>
      <w:pPr>
        <w:pStyle w:val="Heading1"/>
      </w:pPr>
      <w:r>
        <w:t>第 3 关：ENTER / BACK 两个普通按键</w:t>
      </w:r>
    </w:p>
    <w:p>
      <w:r>
        <w:rPr>
          <w:b/>
        </w:rPr>
        <w:t>目标：</w:t>
      </w:r>
      <w:r>
        <w:t>增加两个独立按键，分别生成 ENTER 和 BACK 事件。</w:t>
      </w:r>
    </w:p>
    <w:p>
      <w:pPr>
        <w:pStyle w:val="Heading2"/>
      </w:pPr>
      <w:r>
        <w:t>功能要求</w:t>
      </w:r>
    </w:p>
    <w:p>
      <w:pPr>
        <w:pStyle w:val="ListBullet"/>
        <w:spacing w:after="20"/>
      </w:pPr>
      <w:r>
        <w:t>ENTER → PA5，BACK → PA4。</w:t>
      </w:r>
    </w:p>
    <w:p>
      <w:pPr>
        <w:pStyle w:val="ListBullet"/>
        <w:spacing w:after="20"/>
      </w:pPr>
      <w:r>
        <w:t>两路 GPIO 均配置为内部上拉输入 GPIO_Mode_IPU。</w:t>
      </w:r>
    </w:p>
    <w:p>
      <w:pPr>
        <w:pStyle w:val="ListBullet"/>
        <w:spacing w:after="20"/>
      </w:pPr>
      <w:r>
        <w:t>按键另一端接 GND，因此按下时读到 0。</w:t>
      </w:r>
    </w:p>
    <w:p>
      <w:pPr>
        <w:pStyle w:val="ListBullet"/>
        <w:spacing w:after="20"/>
      </w:pPr>
      <w:r>
        <w:t>先用最简单的延时消抖 + 等待松手方式实现一次按键事件。</w:t>
      </w:r>
    </w:p>
    <w:p>
      <w:pPr>
        <w:pStyle w:val="Heading2"/>
      </w:pPr>
      <w:r>
        <w:t>你必须自己完成</w:t>
      </w:r>
    </w:p>
    <w:p>
      <w:pPr>
        <w:pStyle w:val="ListBullet"/>
        <w:spacing w:after="20"/>
      </w:pPr>
      <w:r>
        <w:t>自己完成按键 GPIO 初始化。</w:t>
      </w:r>
    </w:p>
    <w:p>
      <w:pPr>
        <w:pStyle w:val="ListBullet"/>
        <w:spacing w:after="20"/>
      </w:pPr>
      <w:r>
        <w:t>把“当前按住”与“发生一次按键事件”区分开。</w:t>
      </w:r>
    </w:p>
    <w:p>
      <w:pPr>
        <w:pStyle w:val="Heading2"/>
      </w:pPr>
      <w:r>
        <w:t>验收标准</w:t>
      </w:r>
    </w:p>
    <w:p>
      <w:pPr>
        <w:spacing w:after="20"/>
        <w:ind w:left="283"/>
      </w:pPr>
      <w:r>
        <w:t>☐ 按一次 ENTER 只计一次。</w:t>
      </w:r>
    </w:p>
    <w:p>
      <w:pPr>
        <w:spacing w:after="20"/>
        <w:ind w:left="283"/>
      </w:pPr>
      <w:r>
        <w:t>☐ 按一次 BACK 只计一次。</w:t>
      </w:r>
    </w:p>
    <w:p>
      <w:pPr>
        <w:spacing w:after="20"/>
        <w:ind w:left="283"/>
      </w:pPr>
      <w:r>
        <w:t>☐ 长按后松开不会连续触发很多次。</w:t>
      </w:r>
    </w:p>
    <w:p>
      <w:pPr>
        <w:pStyle w:val="Heading2"/>
      </w:pPr>
      <w:r>
        <w:t>卡住时先检查</w:t>
      </w:r>
    </w:p>
    <w:p>
      <w:pPr>
        <w:pStyle w:val="ListBullet"/>
        <w:spacing w:after="20"/>
      </w:pPr>
      <w:r>
        <w:t>没按时如果电平乱跳，检查是否真的用了 GPIO_Mode_IPU 和共地。</w:t>
      </w:r>
    </w:p>
    <w:p>
      <w:pPr>
        <w:pStyle w:val="ListBullet"/>
        <w:spacing w:after="20"/>
      </w:pPr>
      <w:r>
        <w:t>一按就连续触发，检查是否等待了松手或是否做了事件锁定。</w:t>
      </w:r>
    </w:p>
    <w:p>
      <w:pPr>
        <w:pStyle w:val="Heading1"/>
      </w:pPr>
      <w:r>
        <w:t>第 4 关：统一输入事件层</w:t>
      </w:r>
    </w:p>
    <w:p>
      <w:r>
        <w:rPr>
          <w:b/>
        </w:rPr>
        <w:t>目标：</w:t>
      </w:r>
      <w:r>
        <w:t>把旋转编码器和两个按键统一转换成菜单系统只关心的四种输入事件。</w:t>
      </w:r>
    </w:p>
    <w:p>
      <w:pPr>
        <w:pStyle w:val="Heading2"/>
      </w:pPr>
      <w:r>
        <w:t>功能要求</w:t>
      </w:r>
    </w:p>
    <w:p>
      <w:pPr>
        <w:pStyle w:val="ListBullet"/>
        <w:spacing w:after="20"/>
      </w:pPr>
      <w:r>
        <w:t>顺时针 → DOWN。</w:t>
      </w:r>
    </w:p>
    <w:p>
      <w:pPr>
        <w:pStyle w:val="ListBullet"/>
        <w:spacing w:after="20"/>
      </w:pPr>
      <w:r>
        <w:t>逆时针 → UP。</w:t>
      </w:r>
    </w:p>
    <w:p>
      <w:pPr>
        <w:pStyle w:val="ListBullet"/>
        <w:spacing w:after="20"/>
      </w:pPr>
      <w:r>
        <w:t>PA5 按下 → ENTER。</w:t>
      </w:r>
    </w:p>
    <w:p>
      <w:pPr>
        <w:pStyle w:val="ListBullet"/>
        <w:spacing w:after="20"/>
      </w:pPr>
      <w:r>
        <w:t>PA4 按下 → BACK。</w:t>
      </w:r>
    </w:p>
    <w:p>
      <w:pPr>
        <w:pStyle w:val="ListBullet"/>
        <w:spacing w:after="20"/>
      </w:pPr>
      <w:r>
        <w:t>菜单层不直接读取 PB0/PB1/PA5/PA4。</w:t>
      </w:r>
    </w:p>
    <w:p>
      <w:pPr>
        <w:pStyle w:val="Heading2"/>
      </w:pPr>
      <w:r>
        <w:t>你必须自己完成</w:t>
      </w:r>
    </w:p>
    <w:p>
      <w:pPr>
        <w:pStyle w:val="ListBullet"/>
        <w:spacing w:after="20"/>
      </w:pPr>
      <w:r>
        <w:t>设计一个统一的输入接口，例如返回 NONE / UP / DOWN / ENTER / BACK。</w:t>
      </w:r>
    </w:p>
    <w:p>
      <w:pPr>
        <w:pStyle w:val="ListBullet"/>
        <w:spacing w:after="20"/>
      </w:pPr>
      <w:r>
        <w:t>自己决定用枚举、宏还是普通整数表示事件。</w:t>
      </w:r>
    </w:p>
    <w:p>
      <w:pPr>
        <w:pStyle w:val="Heading2"/>
      </w:pPr>
      <w:r>
        <w:t>验收标准</w:t>
      </w:r>
    </w:p>
    <w:p>
      <w:pPr>
        <w:spacing w:after="20"/>
        <w:ind w:left="283"/>
      </w:pPr>
      <w:r>
        <w:t>☐ OLED 测试页能显示最近一次事件。</w:t>
      </w:r>
    </w:p>
    <w:p>
      <w:pPr>
        <w:spacing w:after="20"/>
        <w:ind w:left="283"/>
      </w:pPr>
      <w:r>
        <w:t>☐ 编码器和按键都通过同一个上层接口被读取。</w:t>
      </w:r>
    </w:p>
    <w:p>
      <w:pPr>
        <w:pStyle w:val="Heading2"/>
      </w:pPr>
      <w:r>
        <w:t>卡住时先检查</w:t>
      </w:r>
    </w:p>
    <w:p>
      <w:pPr>
        <w:pStyle w:val="ListBullet"/>
        <w:spacing w:after="20"/>
      </w:pPr>
      <w:r>
        <w:t>如果 Menu.c 里出现 GPIO_ReadInputDataBit，说明硬件层和菜单层仍然耦合过深。</w:t>
      </w:r>
    </w:p>
    <w:p>
      <w:pPr>
        <w:pStyle w:val="Heading1"/>
      </w:pPr>
      <w:r>
        <w:t>第 5 关：一级菜单与编码器滚动选择</w:t>
      </w:r>
    </w:p>
    <w:p>
      <w:r>
        <w:rPr>
          <w:b/>
        </w:rPr>
        <w:t>目标：</w:t>
      </w:r>
      <w:r>
        <w:t>用旋转编码器控制一级菜单光标上下移动。</w:t>
      </w:r>
    </w:p>
    <w:p>
      <w:pPr>
        <w:pStyle w:val="Heading2"/>
      </w:pPr>
      <w:r>
        <w:t>功能要求</w:t>
      </w:r>
    </w:p>
    <w:p>
      <w:pPr>
        <w:pStyle w:val="ListBullet"/>
        <w:spacing w:after="20"/>
      </w:pPr>
      <w:r>
        <w:t>OLED 显示 ADC Monitor、MPU6050、PWM Control、Tools 四项。</w:t>
      </w:r>
    </w:p>
    <w:p>
      <w:pPr>
        <w:pStyle w:val="ListBullet"/>
        <w:spacing w:after="20"/>
      </w:pPr>
      <w:r>
        <w:t>当前项前显示 &gt; 光标。</w:t>
      </w:r>
    </w:p>
    <w:p>
      <w:pPr>
        <w:pStyle w:val="ListBullet"/>
        <w:spacing w:after="20"/>
      </w:pPr>
      <w:r>
        <w:t>顺时针使 selected 向下，逆时针使 selected 向上。</w:t>
      </w:r>
    </w:p>
    <w:p>
      <w:pPr>
        <w:pStyle w:val="ListBullet"/>
        <w:spacing w:after="20"/>
      </w:pPr>
      <w:r>
        <w:t>到第一项继续向上不移动；到最后一项继续向下不移动。</w:t>
      </w:r>
    </w:p>
    <w:p>
      <w:pPr>
        <w:pStyle w:val="Heading2"/>
      </w:pPr>
      <w:r>
        <w:t>你必须自己完成</w:t>
      </w:r>
    </w:p>
    <w:p>
      <w:pPr>
        <w:pStyle w:val="ListBullet"/>
        <w:spacing w:after="20"/>
      </w:pPr>
      <w:r>
        <w:t>设计 selected 变量。</w:t>
      </w:r>
    </w:p>
    <w:p>
      <w:pPr>
        <w:pStyle w:val="ListBullet"/>
        <w:spacing w:after="20"/>
      </w:pPr>
      <w:r>
        <w:t>根据 selected 重绘光标位置。</w:t>
      </w:r>
    </w:p>
    <w:p>
      <w:pPr>
        <w:pStyle w:val="Heading2"/>
      </w:pPr>
      <w:r>
        <w:t>验收标准</w:t>
      </w:r>
    </w:p>
    <w:p>
      <w:pPr>
        <w:spacing w:after="20"/>
        <w:ind w:left="283"/>
      </w:pPr>
      <w:r>
        <w:t>☐ 每转一个格只移动一项。</w:t>
      </w:r>
    </w:p>
    <w:p>
      <w:pPr>
        <w:spacing w:after="20"/>
        <w:ind w:left="283"/>
      </w:pPr>
      <w:r>
        <w:t>☐ 光标不会越界。</w:t>
      </w:r>
    </w:p>
    <w:p>
      <w:pPr>
        <w:spacing w:after="20"/>
        <w:ind w:left="283"/>
      </w:pPr>
      <w:r>
        <w:t>☐ 快速连续转动时菜单仍然稳定。</w:t>
      </w:r>
    </w:p>
    <w:p>
      <w:pPr>
        <w:pStyle w:val="Heading2"/>
      </w:pPr>
      <w:r>
        <w:t>卡住时先检查</w:t>
      </w:r>
    </w:p>
    <w:p>
      <w:pPr>
        <w:pStyle w:val="ListBullet"/>
        <w:spacing w:after="20"/>
      </w:pPr>
      <w:r>
        <w:t>先不要做动画，先保证状态正确。</w:t>
      </w:r>
    </w:p>
    <w:p>
      <w:pPr>
        <w:pStyle w:val="Heading1"/>
      </w:pPr>
      <w:r>
        <w:t>第 6 关：ENTER / BACK 与页面状态</w:t>
      </w:r>
    </w:p>
    <w:p>
      <w:r>
        <w:rPr>
          <w:b/>
        </w:rPr>
        <w:t>目标：</w:t>
      </w:r>
      <w:r>
        <w:t>让菜单可以进入一个功能页面，并通过 BACK 返回。</w:t>
      </w:r>
    </w:p>
    <w:p>
      <w:pPr>
        <w:pStyle w:val="Heading2"/>
      </w:pPr>
      <w:r>
        <w:t>功能要求</w:t>
      </w:r>
    </w:p>
    <w:p>
      <w:pPr>
        <w:pStyle w:val="ListBullet"/>
        <w:spacing w:after="20"/>
      </w:pPr>
      <w:r>
        <w:t>在 ADC Monitor 上按 ENTER，进入临时页面。</w:t>
      </w:r>
    </w:p>
    <w:p>
      <w:pPr>
        <w:pStyle w:val="ListBullet"/>
        <w:spacing w:after="20"/>
      </w:pPr>
      <w:r>
        <w:t>页面先显示 Coming soon... 即可。</w:t>
      </w:r>
    </w:p>
    <w:p>
      <w:pPr>
        <w:pStyle w:val="ListBullet"/>
        <w:spacing w:after="20"/>
      </w:pPr>
      <w:r>
        <w:t>按 BACK 返回主菜单。</w:t>
      </w:r>
    </w:p>
    <w:p>
      <w:pPr>
        <w:pStyle w:val="ListBullet"/>
        <w:spacing w:after="20"/>
      </w:pPr>
      <w:r>
        <w:t>返回后光标仍停留在进入前的菜单项。</w:t>
      </w:r>
    </w:p>
    <w:p>
      <w:pPr>
        <w:pStyle w:val="Heading2"/>
      </w:pPr>
      <w:r>
        <w:t>你必须自己完成</w:t>
      </w:r>
    </w:p>
    <w:p>
      <w:pPr>
        <w:pStyle w:val="ListBullet"/>
        <w:spacing w:after="20"/>
      </w:pPr>
      <w:r>
        <w:t>设计 MENU 与 RUNNING 两种程序状态。</w:t>
      </w:r>
    </w:p>
    <w:p>
      <w:pPr>
        <w:pStyle w:val="ListBullet"/>
        <w:spacing w:after="20"/>
      </w:pPr>
      <w:r>
        <w:t>保证不同状态下同一个输入事件含义正确。</w:t>
      </w:r>
    </w:p>
    <w:p>
      <w:pPr>
        <w:pStyle w:val="Heading2"/>
      </w:pPr>
      <w:r>
        <w:t>验收标准</w:t>
      </w:r>
    </w:p>
    <w:p>
      <w:pPr>
        <w:spacing w:after="20"/>
        <w:ind w:left="283"/>
      </w:pPr>
      <w:r>
        <w:t>☐ 可以稳定进入和退出页面。</w:t>
      </w:r>
    </w:p>
    <w:p>
      <w:pPr>
        <w:spacing w:after="20"/>
        <w:ind w:left="283"/>
      </w:pPr>
      <w:r>
        <w:t>☐ 返回后 selected 不丢失。</w:t>
      </w:r>
    </w:p>
    <w:p>
      <w:pPr>
        <w:pStyle w:val="Heading1"/>
      </w:pPr>
      <w:r>
        <w:t>第 7 关：真正的多级菜单</w:t>
      </w:r>
    </w:p>
    <w:p>
      <w:r>
        <w:rPr>
          <w:b/>
        </w:rPr>
        <w:t>目标：</w:t>
      </w:r>
      <w:r>
        <w:t>让 Tools 成为子菜单，而不是普通功能页面。</w:t>
      </w:r>
    </w:p>
    <w:p>
      <w:pPr>
        <w:pStyle w:val="Heading2"/>
      </w:pPr>
      <w:r>
        <w:t>功能要求</w:t>
      </w:r>
    </w:p>
    <w:p>
      <w:pPr>
        <w:pStyle w:val="ListBullet"/>
        <w:spacing w:after="20"/>
      </w:pPr>
      <w:r>
        <w:t>Tools 下至少有 Key Test、Encoder Test、System Info、Parameter。</w:t>
      </w:r>
    </w:p>
    <w:p>
      <w:pPr>
        <w:pStyle w:val="ListBullet"/>
        <w:spacing w:after="20"/>
      </w:pPr>
      <w:r>
        <w:t>ENTER 进入 Tools 子菜单。</w:t>
      </w:r>
    </w:p>
    <w:p>
      <w:pPr>
        <w:pStyle w:val="ListBullet"/>
        <w:spacing w:after="20"/>
      </w:pPr>
      <w:r>
        <w:t>BACK 返回 ROOT。</w:t>
      </w:r>
    </w:p>
    <w:p>
      <w:pPr>
        <w:pStyle w:val="ListBullet"/>
        <w:spacing w:after="20"/>
      </w:pPr>
      <w:r>
        <w:t>返回 ROOT 后光标仍停留在 Tools。</w:t>
      </w:r>
    </w:p>
    <w:p>
      <w:pPr>
        <w:pStyle w:val="Heading2"/>
      </w:pPr>
      <w:r>
        <w:t>你必须自己完成</w:t>
      </w:r>
    </w:p>
    <w:p>
      <w:pPr>
        <w:pStyle w:val="ListBullet"/>
        <w:spacing w:after="20"/>
      </w:pPr>
      <w:r>
        <w:t>先允许使用较直接的逻辑完成正确功能。</w:t>
      </w:r>
    </w:p>
    <w:p>
      <w:pPr>
        <w:pStyle w:val="ListBullet"/>
        <w:spacing w:after="20"/>
      </w:pPr>
      <w:r>
        <w:t>记录当前菜单与上级菜单关系。</w:t>
      </w:r>
    </w:p>
    <w:p>
      <w:pPr>
        <w:pStyle w:val="Heading2"/>
      </w:pPr>
      <w:r>
        <w:t>验收标准</w:t>
      </w:r>
    </w:p>
    <w:p>
      <w:pPr>
        <w:spacing w:after="20"/>
        <w:ind w:left="283"/>
      </w:pPr>
      <w:r>
        <w:t>☐ ROOT ↔ Tools 可以反复进入和返回。</w:t>
      </w:r>
    </w:p>
    <w:p>
      <w:pPr>
        <w:spacing w:after="20"/>
        <w:ind w:left="283"/>
      </w:pPr>
      <w:r>
        <w:t>☐ 两级菜单各自记住自己的光标。</w:t>
      </w:r>
    </w:p>
    <w:p>
      <w:pPr>
        <w:pStyle w:val="Heading1"/>
      </w:pPr>
      <w:r>
        <w:t>第 8 关：用结构体重构菜单</w:t>
      </w:r>
    </w:p>
    <w:p>
      <w:r>
        <w:rPr>
          <w:b/>
        </w:rPr>
        <w:t>目标：</w:t>
      </w:r>
      <w:r>
        <w:t>把菜单从大量 if/switch 逻辑重构为数据驱动的菜单项结构。</w:t>
      </w:r>
    </w:p>
    <w:p>
      <w:pPr>
        <w:pStyle w:val="Heading2"/>
      </w:pPr>
      <w:r>
        <w:t>功能要求</w:t>
      </w:r>
    </w:p>
    <w:p>
      <w:pPr>
        <w:pStyle w:val="ListBullet"/>
        <w:spacing w:after="20"/>
      </w:pPr>
      <w:r>
        <w:t>一个菜单项至少能描述名称、动作、父菜单、子菜单。</w:t>
      </w:r>
    </w:p>
    <w:p>
      <w:pPr>
        <w:pStyle w:val="ListBullet"/>
        <w:spacing w:after="20"/>
      </w:pPr>
      <w:r>
        <w:t>普通功能项与子菜单项使用同一种 MenuItem 描述。</w:t>
      </w:r>
    </w:p>
    <w:p>
      <w:pPr>
        <w:pStyle w:val="ListBullet"/>
        <w:spacing w:after="20"/>
      </w:pPr>
      <w:r>
        <w:t>功能项可以关联一个动作函数。</w:t>
      </w:r>
    </w:p>
    <w:p>
      <w:pPr>
        <w:pStyle w:val="Heading2"/>
      </w:pPr>
      <w:r>
        <w:t>你必须自己完成</w:t>
      </w:r>
    </w:p>
    <w:p>
      <w:pPr>
        <w:pStyle w:val="ListBullet"/>
        <w:spacing w:after="20"/>
      </w:pPr>
      <w:r>
        <w:t>使用结构体、结构体指针、数组和函数指针。</w:t>
      </w:r>
    </w:p>
    <w:p>
      <w:pPr>
        <w:pStyle w:val="ListBullet"/>
        <w:spacing w:after="20"/>
      </w:pPr>
      <w:r>
        <w:t>把菜单数据与菜单处理逻辑分开。</w:t>
      </w:r>
    </w:p>
    <w:p>
      <w:pPr>
        <w:pStyle w:val="Heading2"/>
      </w:pPr>
      <w:r>
        <w:t>验收标准</w:t>
      </w:r>
    </w:p>
    <w:p>
      <w:pPr>
        <w:spacing w:after="20"/>
        <w:ind w:left="283"/>
      </w:pPr>
      <w:r>
        <w:t>☐ 新增一个菜单项时，不需要到多处修改大量 if/switch。</w:t>
      </w:r>
    </w:p>
    <w:p>
      <w:pPr>
        <w:spacing w:after="20"/>
        <w:ind w:left="283"/>
      </w:pPr>
      <w:r>
        <w:t>☐ main.c 中不出现成片的菜单分支。</w:t>
      </w:r>
    </w:p>
    <w:p>
      <w:pPr>
        <w:pStyle w:val="Heading2"/>
      </w:pPr>
      <w:r>
        <w:t>卡住时先检查</w:t>
      </w:r>
    </w:p>
    <w:p>
      <w:pPr>
        <w:pStyle w:val="ListBullet"/>
        <w:spacing w:after="20"/>
      </w:pPr>
      <w:r>
        <w:t>这一关允许慢慢做，是整个项目最重要的 C 语言组织能力训练。</w:t>
      </w:r>
    </w:p>
    <w:p>
      <w:pPr>
        <w:pStyle w:val="Heading1"/>
      </w:pPr>
      <w:r>
        <w:t>第 9 关：自动建立菜单树</w:t>
      </w:r>
    </w:p>
    <w:p>
      <w:r>
        <w:rPr>
          <w:b/>
        </w:rPr>
        <w:t>目标：</w:t>
      </w:r>
      <w:r>
        <w:t>在初始化时自动建立 parent 等父子关系，减少手工维护。</w:t>
      </w:r>
    </w:p>
    <w:p>
      <w:pPr>
        <w:pStyle w:val="Heading2"/>
      </w:pPr>
      <w:r>
        <w:t>功能要求</w:t>
      </w:r>
    </w:p>
    <w:p>
      <w:pPr>
        <w:pStyle w:val="ListBullet"/>
        <w:spacing w:after="20"/>
      </w:pPr>
      <w:r>
        <w:t>扫描每个菜单项的 children。</w:t>
      </w:r>
    </w:p>
    <w:p>
      <w:pPr>
        <w:pStyle w:val="ListBullet"/>
        <w:spacing w:after="20"/>
      </w:pPr>
      <w:r>
        <w:t>自动设置子项的 parent。</w:t>
      </w:r>
    </w:p>
    <w:p>
      <w:pPr>
        <w:pStyle w:val="ListBullet"/>
        <w:spacing w:after="20"/>
      </w:pPr>
      <w:r>
        <w:t>自动初始化 childCount、selected 等状态。</w:t>
      </w:r>
    </w:p>
    <w:p>
      <w:pPr>
        <w:pStyle w:val="Heading2"/>
      </w:pPr>
      <w:r>
        <w:t>你必须自己完成</w:t>
      </w:r>
    </w:p>
    <w:p>
      <w:pPr>
        <w:pStyle w:val="ListBullet"/>
        <w:spacing w:after="20"/>
      </w:pPr>
      <w:r>
        <w:t>自己实现树形初始化逻辑。</w:t>
      </w:r>
    </w:p>
    <w:p>
      <w:pPr>
        <w:pStyle w:val="ListBullet"/>
        <w:spacing w:after="20"/>
      </w:pPr>
      <w:r>
        <w:t>避免动态内存；优先使用静态数组和静态对象。</w:t>
      </w:r>
    </w:p>
    <w:p>
      <w:pPr>
        <w:pStyle w:val="Heading2"/>
      </w:pPr>
      <w:r>
        <w:t>验收标准</w:t>
      </w:r>
    </w:p>
    <w:p>
      <w:pPr>
        <w:spacing w:after="20"/>
        <w:ind w:left="283"/>
      </w:pPr>
      <w:r>
        <w:t>☐ 新增子菜单后只需要声明其 children 关系。</w:t>
      </w:r>
    </w:p>
    <w:p>
      <w:pPr>
        <w:spacing w:after="20"/>
        <w:ind w:left="283"/>
      </w:pPr>
      <w:r>
        <w:t>☐ 返回上级逻辑不依赖写死的菜单名称。</w:t>
      </w:r>
    </w:p>
    <w:p>
      <w:pPr>
        <w:pStyle w:val="Heading1"/>
      </w:pPr>
      <w:r>
        <w:t>第 10 关：ADC Monitor</w:t>
      </w:r>
    </w:p>
    <w:p>
      <w:r>
        <w:rPr>
          <w:b/>
        </w:rPr>
        <w:t>目标：</w:t>
      </w:r>
      <w:r>
        <w:t>把 ADC 从单独实验整合进菜单页面。</w:t>
      </w:r>
    </w:p>
    <w:p>
      <w:pPr>
        <w:pStyle w:val="Heading2"/>
      </w:pPr>
      <w:r>
        <w:t>功能要求</w:t>
      </w:r>
    </w:p>
    <w:p>
      <w:pPr>
        <w:pStyle w:val="ListBullet"/>
        <w:spacing w:after="20"/>
      </w:pPr>
      <w:r>
        <w:t>接 10k 电位器到一个 ADC 通道。</w:t>
      </w:r>
    </w:p>
    <w:p>
      <w:pPr>
        <w:pStyle w:val="ListBullet"/>
        <w:spacing w:after="20"/>
      </w:pPr>
      <w:r>
        <w:t>页面实时显示 RAW 0~4095。</w:t>
      </w:r>
    </w:p>
    <w:p>
      <w:pPr>
        <w:pStyle w:val="ListBullet"/>
        <w:spacing w:after="20"/>
      </w:pPr>
      <w:r>
        <w:t>根据参考电压换算并显示 Voltage。</w:t>
      </w:r>
    </w:p>
    <w:p>
      <w:pPr>
        <w:pStyle w:val="ListBullet"/>
        <w:spacing w:after="20"/>
      </w:pPr>
      <w:r>
        <w:t>BACK 可随时退出。</w:t>
      </w:r>
    </w:p>
    <w:p>
      <w:pPr>
        <w:pStyle w:val="Heading2"/>
      </w:pPr>
      <w:r>
        <w:t>你必须自己完成</w:t>
      </w:r>
    </w:p>
    <w:p>
      <w:pPr>
        <w:pStyle w:val="ListBullet"/>
        <w:spacing w:after="20"/>
      </w:pPr>
      <w:r>
        <w:t>自己完成 ADC 初始化、读取与数值换算。</w:t>
      </w:r>
    </w:p>
    <w:p>
      <w:pPr>
        <w:pStyle w:val="ListBullet"/>
        <w:spacing w:after="20"/>
      </w:pPr>
      <w:r>
        <w:t>控制 OLED 刷新频率，避免无意义高速刷屏。</w:t>
      </w:r>
    </w:p>
    <w:p>
      <w:pPr>
        <w:pStyle w:val="Heading2"/>
      </w:pPr>
      <w:r>
        <w:t>验收标准</w:t>
      </w:r>
    </w:p>
    <w:p>
      <w:pPr>
        <w:spacing w:after="20"/>
        <w:ind w:left="283"/>
      </w:pPr>
      <w:r>
        <w:t>☐ 旋转电位器时 RAW 和电压连续变化。</w:t>
      </w:r>
    </w:p>
    <w:p>
      <w:pPr>
        <w:spacing w:after="20"/>
        <w:ind w:left="283"/>
      </w:pPr>
      <w:r>
        <w:t>☐ 0V 附近接近 0，3.3V 附近接近 4095。</w:t>
      </w:r>
    </w:p>
    <w:p>
      <w:pPr>
        <w:spacing w:after="20"/>
        <w:ind w:left="283"/>
      </w:pPr>
      <w:r>
        <w:t>☐ 退出页面后菜单正常。</w:t>
      </w:r>
    </w:p>
    <w:p>
      <w:pPr>
        <w:pStyle w:val="Heading1"/>
      </w:pPr>
      <w:r>
        <w:t>第 11 关：MPU6050 页面</w:t>
      </w:r>
    </w:p>
    <w:p>
      <w:r>
        <w:rPr>
          <w:b/>
        </w:rPr>
        <w:t>目标：</w:t>
      </w:r>
      <w:r>
        <w:t>把软件 I2C + MPU6050 读取整合进菜单。</w:t>
      </w:r>
    </w:p>
    <w:p>
      <w:pPr>
        <w:pStyle w:val="Heading2"/>
      </w:pPr>
      <w:r>
        <w:t>允许复用</w:t>
      </w:r>
    </w:p>
    <w:p>
      <w:pPr>
        <w:pStyle w:val="ListBullet"/>
        <w:spacing w:after="20"/>
      </w:pPr>
      <w:r>
        <w:t>可以复用你课程里已经理解过的 MyI2C / MPU6050 基础驱动。</w:t>
      </w:r>
    </w:p>
    <w:p>
      <w:pPr>
        <w:pStyle w:val="Heading2"/>
      </w:pPr>
      <w:r>
        <w:t>功能要求</w:t>
      </w:r>
    </w:p>
    <w:p>
      <w:pPr>
        <w:pStyle w:val="ListBullet"/>
        <w:spacing w:after="20"/>
      </w:pPr>
      <w:r>
        <w:t>页面实时显示 AX、AY、AZ，之后再扩展 GX、GY、GZ。</w:t>
      </w:r>
    </w:p>
    <w:p>
      <w:pPr>
        <w:pStyle w:val="ListBullet"/>
        <w:spacing w:after="20"/>
      </w:pPr>
      <w:r>
        <w:t>进入页面后持续刷新数据。</w:t>
      </w:r>
    </w:p>
    <w:p>
      <w:pPr>
        <w:pStyle w:val="ListBullet"/>
        <w:spacing w:after="20"/>
      </w:pPr>
      <w:r>
        <w:t>BACK 退出后停止该页面显示逻辑。</w:t>
      </w:r>
    </w:p>
    <w:p>
      <w:pPr>
        <w:pStyle w:val="Heading2"/>
      </w:pPr>
      <w:r>
        <w:t>你必须自己完成</w:t>
      </w:r>
    </w:p>
    <w:p>
      <w:pPr>
        <w:pStyle w:val="ListBullet"/>
        <w:spacing w:after="20"/>
      </w:pPr>
      <w:r>
        <w:t>明确软件 I2C 层与 MPU6050 寄存器层的关系。</w:t>
      </w:r>
    </w:p>
    <w:p>
      <w:pPr>
        <w:pStyle w:val="ListBullet"/>
        <w:spacing w:after="20"/>
      </w:pPr>
      <w:r>
        <w:t>处理有符号 16 位传感器数据。</w:t>
      </w:r>
    </w:p>
    <w:p>
      <w:pPr>
        <w:pStyle w:val="Heading2"/>
      </w:pPr>
      <w:r>
        <w:t>验收标准</w:t>
      </w:r>
    </w:p>
    <w:p>
      <w:pPr>
        <w:spacing w:after="20"/>
        <w:ind w:left="283"/>
      </w:pPr>
      <w:r>
        <w:t>☐ 静止时 AZ 大约反映重力方向。</w:t>
      </w:r>
    </w:p>
    <w:p>
      <w:pPr>
        <w:spacing w:after="20"/>
        <w:ind w:left="283"/>
      </w:pPr>
      <w:r>
        <w:t>☐ 移动模块时三轴数据有明显变化。</w:t>
      </w:r>
    </w:p>
    <w:p>
      <w:pPr>
        <w:pStyle w:val="Heading1"/>
      </w:pPr>
      <w:r>
        <w:t>第 12 关：PWM Control</w:t>
      </w:r>
    </w:p>
    <w:p>
      <w:r>
        <w:rPr>
          <w:b/>
        </w:rPr>
        <w:t>目标：</w:t>
      </w:r>
      <w:r>
        <w:t>用编码器直接调节 PWM 占空比，控制 LED 亮度。</w:t>
      </w:r>
    </w:p>
    <w:p>
      <w:pPr>
        <w:pStyle w:val="Heading2"/>
      </w:pPr>
      <w:r>
        <w:t>功能要求</w:t>
      </w:r>
    </w:p>
    <w:p>
      <w:pPr>
        <w:pStyle w:val="ListBullet"/>
        <w:spacing w:after="20"/>
      </w:pPr>
      <w:r>
        <w:t>进入 PWM 页面显示 Duty。</w:t>
      </w:r>
    </w:p>
    <w:p>
      <w:pPr>
        <w:pStyle w:val="ListBullet"/>
        <w:spacing w:after="20"/>
      </w:pPr>
      <w:r>
        <w:t>顺时针增加占空比，逆时针减少。</w:t>
      </w:r>
    </w:p>
    <w:p>
      <w:pPr>
        <w:pStyle w:val="ListBullet"/>
        <w:spacing w:after="20"/>
      </w:pPr>
      <w:r>
        <w:t>范围限制为 0%~100%。</w:t>
      </w:r>
    </w:p>
    <w:p>
      <w:pPr>
        <w:pStyle w:val="ListBullet"/>
        <w:spacing w:after="20"/>
      </w:pPr>
      <w:r>
        <w:t>LED 亮度随占空比变化。</w:t>
      </w:r>
    </w:p>
    <w:p>
      <w:pPr>
        <w:pStyle w:val="Heading2"/>
      </w:pPr>
      <w:r>
        <w:t>你必须自己完成</w:t>
      </w:r>
    </w:p>
    <w:p>
      <w:pPr>
        <w:pStyle w:val="ListBullet"/>
        <w:spacing w:after="20"/>
      </w:pPr>
      <w:r>
        <w:t>自己设置 PSC、ARR、CCR。</w:t>
      </w:r>
    </w:p>
    <w:p>
      <w:pPr>
        <w:pStyle w:val="ListBullet"/>
        <w:spacing w:after="20"/>
      </w:pPr>
      <w:r>
        <w:t>能解释 ARR 决定周期、CCR 决定占空比。</w:t>
      </w:r>
    </w:p>
    <w:p>
      <w:pPr>
        <w:pStyle w:val="Heading2"/>
      </w:pPr>
      <w:r>
        <w:t>验收标准</w:t>
      </w:r>
    </w:p>
    <w:p>
      <w:pPr>
        <w:spacing w:after="20"/>
        <w:ind w:left="283"/>
      </w:pPr>
      <w:r>
        <w:t>☐ 0% 基本熄灭，100% 最亮。</w:t>
      </w:r>
    </w:p>
    <w:p>
      <w:pPr>
        <w:spacing w:after="20"/>
        <w:ind w:left="283"/>
      </w:pPr>
      <w:r>
        <w:t>☐ 旋转一个格只改变一次设定值。</w:t>
      </w:r>
    </w:p>
    <w:p>
      <w:pPr>
        <w:spacing w:after="20"/>
        <w:ind w:left="283"/>
      </w:pPr>
      <w:r>
        <w:t>☐ 不会因为 CCR 超出 ARR 导致异常。</w:t>
      </w:r>
    </w:p>
    <w:p>
      <w:pPr>
        <w:pStyle w:val="Heading1"/>
      </w:pPr>
      <w:r>
        <w:t>第 13 关：参数调节模式</w:t>
      </w:r>
    </w:p>
    <w:p>
      <w:r>
        <w:rPr>
          <w:b/>
        </w:rPr>
        <w:t>目标：</w:t>
      </w:r>
      <w:r>
        <w:t>建立第三种状态 ADJUST，让编码器用于修改参数。</w:t>
      </w:r>
    </w:p>
    <w:p>
      <w:pPr>
        <w:pStyle w:val="Heading2"/>
      </w:pPr>
      <w:r>
        <w:t>功能要求</w:t>
      </w:r>
    </w:p>
    <w:p>
      <w:pPr>
        <w:pStyle w:val="ListBullet"/>
        <w:spacing w:after="20"/>
      </w:pPr>
      <w:r>
        <w:t>Tools → Parameter 进入参数页面。</w:t>
      </w:r>
    </w:p>
    <w:p>
      <w:pPr>
        <w:pStyle w:val="ListBullet"/>
        <w:spacing w:after="20"/>
      </w:pPr>
      <w:r>
        <w:t>顺时针增加参数，逆时针减少参数。</w:t>
      </w:r>
    </w:p>
    <w:p>
      <w:pPr>
        <w:pStyle w:val="ListBullet"/>
        <w:spacing w:after="20"/>
      </w:pPr>
      <w:r>
        <w:t>ENTER 确认，BACK 放弃或返回（由你设计，但要保持一致）。</w:t>
      </w:r>
    </w:p>
    <w:p>
      <w:pPr>
        <w:pStyle w:val="ListBullet"/>
        <w:spacing w:after="20"/>
      </w:pPr>
      <w:r>
        <w:t>页面显示当前值和调节步长。</w:t>
      </w:r>
    </w:p>
    <w:p>
      <w:pPr>
        <w:pStyle w:val="Heading2"/>
      </w:pPr>
      <w:r>
        <w:t>你必须自己完成</w:t>
      </w:r>
    </w:p>
    <w:p>
      <w:pPr>
        <w:pStyle w:val="ListBullet"/>
        <w:spacing w:after="20"/>
      </w:pPr>
      <w:r>
        <w:t>设计 MENU / RUNNING / ADJUST 三种状态。</w:t>
      </w:r>
    </w:p>
    <w:p>
      <w:pPr>
        <w:pStyle w:val="ListBullet"/>
        <w:spacing w:after="20"/>
      </w:pPr>
      <w:r>
        <w:t>把“菜单滚动”和“参数调整”对编码器的使用区分开。</w:t>
      </w:r>
    </w:p>
    <w:p>
      <w:pPr>
        <w:pStyle w:val="Heading2"/>
      </w:pPr>
      <w:r>
        <w:t>验收标准</w:t>
      </w:r>
    </w:p>
    <w:p>
      <w:pPr>
        <w:spacing w:after="20"/>
        <w:ind w:left="283"/>
      </w:pPr>
      <w:r>
        <w:t>☐ 同样的旋转输入在不同状态下执行正确功能。</w:t>
      </w:r>
    </w:p>
    <w:p>
      <w:pPr>
        <w:spacing w:after="20"/>
        <w:ind w:left="283"/>
      </w:pPr>
      <w:r>
        <w:t>☐ 参数上下限处理正确。</w:t>
      </w:r>
    </w:p>
    <w:p>
      <w:pPr>
        <w:pStyle w:val="Heading1"/>
      </w:pPr>
      <w:r>
        <w:t>第 14 关：菜单分页</w:t>
      </w:r>
    </w:p>
    <w:p>
      <w:r>
        <w:rPr>
          <w:b/>
        </w:rPr>
        <w:t>目标：</w:t>
      </w:r>
      <w:r>
        <w:t>解决菜单项超过 OLED 一屏可显示数量的问题。</w:t>
      </w:r>
    </w:p>
    <w:p>
      <w:pPr>
        <w:pStyle w:val="Heading2"/>
      </w:pPr>
      <w:r>
        <w:t>功能要求</w:t>
      </w:r>
    </w:p>
    <w:p>
      <w:pPr>
        <w:pStyle w:val="ListBullet"/>
        <w:spacing w:after="20"/>
      </w:pPr>
      <w:r>
        <w:t>增加至少 7 个菜单项用于测试。</w:t>
      </w:r>
    </w:p>
    <w:p>
      <w:pPr>
        <w:pStyle w:val="ListBullet"/>
        <w:spacing w:after="20"/>
      </w:pPr>
      <w:r>
        <w:t>维护 selected 与 topIndex（或你自己的同类变量）。</w:t>
      </w:r>
    </w:p>
    <w:p>
      <w:pPr>
        <w:pStyle w:val="ListBullet"/>
        <w:spacing w:after="20"/>
      </w:pPr>
      <w:r>
        <w:t>光标走到屏幕底部后，显示窗口向下移动。</w:t>
      </w:r>
    </w:p>
    <w:p>
      <w:pPr>
        <w:pStyle w:val="Heading2"/>
      </w:pPr>
      <w:r>
        <w:t>你必须自己完成</w:t>
      </w:r>
    </w:p>
    <w:p>
      <w:pPr>
        <w:pStyle w:val="ListBullet"/>
        <w:spacing w:after="20"/>
      </w:pPr>
      <w:r>
        <w:t>自己计算当前可见菜单范围。</w:t>
      </w:r>
    </w:p>
    <w:p>
      <w:pPr>
        <w:pStyle w:val="ListBullet"/>
        <w:spacing w:after="20"/>
      </w:pPr>
      <w:r>
        <w:t>禁止通过删除菜单项逃避分页。</w:t>
      </w:r>
    </w:p>
    <w:p>
      <w:pPr>
        <w:pStyle w:val="Heading2"/>
      </w:pPr>
      <w:r>
        <w:t>验收标准</w:t>
      </w:r>
    </w:p>
    <w:p>
      <w:pPr>
        <w:spacing w:after="20"/>
        <w:ind w:left="283"/>
      </w:pPr>
      <w:r>
        <w:t>☐ 所有菜单项都可以访问。</w:t>
      </w:r>
    </w:p>
    <w:p>
      <w:pPr>
        <w:spacing w:after="20"/>
        <w:ind w:left="283"/>
      </w:pPr>
      <w:r>
        <w:t>☐ 上翻、下翻时光标和内容不越界。</w:t>
      </w:r>
    </w:p>
    <w:p>
      <w:pPr>
        <w:pStyle w:val="Heading1"/>
      </w:pPr>
      <w:r>
        <w:t>第 15 关：滚动动画（进阶）</w:t>
      </w:r>
    </w:p>
    <w:p>
      <w:r>
        <w:rPr>
          <w:b/>
        </w:rPr>
        <w:t>目标：</w:t>
      </w:r>
      <w:r>
        <w:t>把菜单翻页从瞬间跳转升级为逐帧滚动。</w:t>
      </w:r>
    </w:p>
    <w:p>
      <w:pPr>
        <w:pStyle w:val="Heading2"/>
      </w:pPr>
      <w:r>
        <w:t>功能要求</w:t>
      </w:r>
    </w:p>
    <w:p>
      <w:pPr>
        <w:pStyle w:val="ListBullet"/>
        <w:spacing w:after="20"/>
      </w:pPr>
      <w:r>
        <w:t>翻页时按若干像素逐帧移动菜单内容。</w:t>
      </w:r>
    </w:p>
    <w:p>
      <w:pPr>
        <w:pStyle w:val="ListBullet"/>
        <w:spacing w:after="20"/>
      </w:pPr>
      <w:r>
        <w:t>动画期间输入处理不能把系统卡死。</w:t>
      </w:r>
    </w:p>
    <w:p>
      <w:pPr>
        <w:pStyle w:val="ListBullet"/>
        <w:spacing w:after="20"/>
      </w:pPr>
      <w:r>
        <w:t>先保证功能，再做视觉效果。</w:t>
      </w:r>
    </w:p>
    <w:p>
      <w:pPr>
        <w:pStyle w:val="Heading2"/>
      </w:pPr>
      <w:r>
        <w:t>你必须自己完成</w:t>
      </w:r>
    </w:p>
    <w:p>
      <w:pPr>
        <w:pStyle w:val="ListBullet"/>
        <w:spacing w:after="20"/>
      </w:pPr>
      <w:r>
        <w:t>设计动画进度、偏移量和刷新节奏。</w:t>
      </w:r>
    </w:p>
    <w:p>
      <w:pPr>
        <w:pStyle w:val="ListBullet"/>
        <w:spacing w:after="20"/>
      </w:pPr>
      <w:r>
        <w:t>尽量避免使用长时间 Delay 阻塞。</w:t>
      </w:r>
    </w:p>
    <w:p>
      <w:pPr>
        <w:pStyle w:val="Heading2"/>
      </w:pPr>
      <w:r>
        <w:t>验收标准</w:t>
      </w:r>
    </w:p>
    <w:p>
      <w:pPr>
        <w:spacing w:after="20"/>
        <w:ind w:left="283"/>
      </w:pPr>
      <w:r>
        <w:t>☐ 翻页动画连贯。</w:t>
      </w:r>
    </w:p>
    <w:p>
      <w:pPr>
        <w:spacing w:after="20"/>
        <w:ind w:left="283"/>
      </w:pPr>
      <w:r>
        <w:t>☐ 菜单最终位置准确。</w:t>
      </w:r>
    </w:p>
    <w:p>
      <w:pPr>
        <w:spacing w:after="20"/>
        <w:ind w:left="283"/>
      </w:pPr>
      <w:r>
        <w:t>☐ 连续操作不会出现错页或光标错位。</w:t>
      </w:r>
    </w:p>
    <w:p>
      <w:pPr>
        <w:pStyle w:val="Heading1"/>
      </w:pPr>
      <w:r>
        <w:t>第 16 关：USART 调试系统</w:t>
      </w:r>
    </w:p>
    <w:p>
      <w:r>
        <w:rPr>
          <w:b/>
        </w:rPr>
        <w:t>目标：</w:t>
      </w:r>
      <w:r>
        <w:t>把串口变成整个项目的调试输出通道。</w:t>
      </w:r>
    </w:p>
    <w:p>
      <w:pPr>
        <w:pStyle w:val="Heading2"/>
      </w:pPr>
      <w:r>
        <w:t>功能要求</w:t>
      </w:r>
    </w:p>
    <w:p>
      <w:pPr>
        <w:pStyle w:val="ListBullet"/>
        <w:spacing w:after="20"/>
      </w:pPr>
      <w:r>
        <w:t>上电输出 System Ready。</w:t>
      </w:r>
    </w:p>
    <w:p>
      <w:pPr>
        <w:pStyle w:val="ListBullet"/>
        <w:spacing w:after="20"/>
      </w:pPr>
      <w:r>
        <w:t>旋转和按键事件可以输出日志。</w:t>
      </w:r>
    </w:p>
    <w:p>
      <w:pPr>
        <w:pStyle w:val="ListBullet"/>
        <w:spacing w:after="20"/>
      </w:pPr>
      <w:r>
        <w:t>进入/退出菜单页输出菜单名称。</w:t>
      </w:r>
    </w:p>
    <w:p>
      <w:pPr>
        <w:pStyle w:val="ListBullet"/>
        <w:spacing w:after="20"/>
      </w:pPr>
      <w:r>
        <w:t>可打印当前菜单树或关键运行数据。</w:t>
      </w:r>
    </w:p>
    <w:p>
      <w:pPr>
        <w:pStyle w:val="Heading2"/>
      </w:pPr>
      <w:r>
        <w:t>你必须自己完成</w:t>
      </w:r>
    </w:p>
    <w:p>
      <w:pPr>
        <w:pStyle w:val="ListBullet"/>
        <w:spacing w:after="20"/>
      </w:pPr>
      <w:r>
        <w:t>自己完成 USART1 初始化和 printf 重定向（或等价发送接口）。</w:t>
      </w:r>
    </w:p>
    <w:p>
      <w:pPr>
        <w:pStyle w:val="ListBullet"/>
        <w:spacing w:after="20"/>
      </w:pPr>
      <w:r>
        <w:t>设计简单一致的日志格式。</w:t>
      </w:r>
    </w:p>
    <w:p>
      <w:pPr>
        <w:pStyle w:val="Heading2"/>
      </w:pPr>
      <w:r>
        <w:t>验收标准</w:t>
      </w:r>
    </w:p>
    <w:p>
      <w:pPr>
        <w:spacing w:after="20"/>
        <w:ind w:left="283"/>
      </w:pPr>
      <w:r>
        <w:t>☐ USB-TTL 串口助手可以稳定看到日志。</w:t>
      </w:r>
    </w:p>
    <w:p>
      <w:pPr>
        <w:spacing w:after="20"/>
        <w:ind w:left="283"/>
      </w:pPr>
      <w:r>
        <w:t>☐ 调试输出不会明显影响菜单操作。</w:t>
      </w:r>
    </w:p>
    <w:p>
      <w:pPr>
        <w:pStyle w:val="Heading1"/>
      </w:pPr>
      <w:r>
        <w:t>可选进阶：以后再学 TIM Encoder Interface</w:t>
      </w:r>
    </w:p>
    <w:p>
      <w:r>
        <w:t>当前项目继续使用你已经学过的 EXTI 方式读取 PB0/PB1。等整个项目完成后，可以把旋转编码器底层替换为 STM32 定时器的 Encoder Interface。上层 Menu.c 不应该因此改动，这正好可以检验你的分层设计是否合理。</w:t>
      </w:r>
    </w:p>
    <w:p>
      <w:pPr>
        <w:pStyle w:val="CodeBlock"/>
        <w:shd w:fill="F3F5F7"/>
      </w:pPr>
      <w:r>
        <w:t>现在：</w:t>
        <w:br/>
        <w:t>PB0/PB1 → EXTI → Encoder_Get() → UP/DOWN → Menu</w:t>
        <w:br/>
        <w:br/>
        <w:t>以后：</w:t>
        <w:br/>
        <w:t>TIMx_CH1/CH2 → Encoder Mode → Encoder_Get() → UP/DOWN → Menu</w:t>
      </w:r>
    </w:p>
    <w:p>
      <w:pPr>
        <w:pStyle w:val="Heading1"/>
      </w:pPr>
      <w:r>
        <w:t>项目总进度清单</w:t>
      </w:r>
    </w:p>
    <w:p>
      <w:r>
        <w:t>☐ 第 0 关：标准库工程</w:t>
      </w:r>
    </w:p>
    <w:p>
      <w:r>
        <w:t>☐ 第 1 关：OLED</w:t>
      </w:r>
    </w:p>
    <w:p>
      <w:r>
        <w:t>☐ 第 2 关：旋转编码器测试</w:t>
      </w:r>
    </w:p>
    <w:p>
      <w:r>
        <w:t>☐ 第 3 关：ENTER / BACK</w:t>
      </w:r>
    </w:p>
    <w:p>
      <w:r>
        <w:t>☐ 第 4 关：统一输入事件层</w:t>
      </w:r>
    </w:p>
    <w:p>
      <w:r>
        <w:t>☐ 第 5 关：一级菜单</w:t>
      </w:r>
    </w:p>
    <w:p>
      <w:r>
        <w:t>☐ 第 6 关：页面状态</w:t>
      </w:r>
    </w:p>
    <w:p>
      <w:r>
        <w:t>☐ 第 7 关：多级菜单</w:t>
      </w:r>
    </w:p>
    <w:p>
      <w:r>
        <w:t>☐ 第 8 关：结构体重构</w:t>
      </w:r>
    </w:p>
    <w:p>
      <w:r>
        <w:t>☐ 第 9 关：自动菜单树</w:t>
      </w:r>
    </w:p>
    <w:p>
      <w:r>
        <w:t>☐ 第 10 关：ADC Monitor</w:t>
      </w:r>
    </w:p>
    <w:p>
      <w:r>
        <w:t>☐ 第 11 关：MPU6050</w:t>
      </w:r>
    </w:p>
    <w:p>
      <w:r>
        <w:t>☐ 第 12 关：PWM Control</w:t>
      </w:r>
    </w:p>
    <w:p>
      <w:r>
        <w:t>☐ 第 13 关：参数调节模式</w:t>
      </w:r>
    </w:p>
    <w:p>
      <w:r>
        <w:t>☐ 第 14 关：菜单分页</w:t>
      </w:r>
    </w:p>
    <w:p>
      <w:r>
        <w:t>☐ 第 15 关：滚动动画</w:t>
      </w:r>
    </w:p>
    <w:p>
      <w:r>
        <w:t>☐ 第 16 关：USART 调试</w:t>
      </w:r>
    </w:p>
    <w:p>
      <w:pPr>
        <w:pStyle w:val="Heading1"/>
      </w:pPr>
      <w:r>
        <w:t>每次找我验收时发什么</w:t>
      </w:r>
    </w:p>
    <w:p>
      <w:pPr>
        <w:pStyle w:val="ListBullet"/>
        <w:spacing w:after="20"/>
      </w:pPr>
      <w:r>
        <w:t>先说明你正在做第几关。</w:t>
      </w:r>
    </w:p>
    <w:p>
      <w:pPr>
        <w:pStyle w:val="ListBullet"/>
        <w:spacing w:after="20"/>
      </w:pPr>
      <w:r>
        <w:t>发 main.c 和本关新增/修改的 .c/.h 文件。</w:t>
      </w:r>
    </w:p>
    <w:p>
      <w:pPr>
        <w:pStyle w:val="ListBullet"/>
        <w:spacing w:after="20"/>
      </w:pPr>
      <w:r>
        <w:t>如果是硬件问题，附清楚的接线图或实物照片。</w:t>
      </w:r>
    </w:p>
    <w:p>
      <w:pPr>
        <w:pStyle w:val="ListBullet"/>
        <w:spacing w:after="20"/>
      </w:pPr>
      <w:r>
        <w:t>如果编译失败，把完整 Error 信息贴出来。</w:t>
      </w:r>
    </w:p>
    <w:p>
      <w:pPr>
        <w:pStyle w:val="ListBullet"/>
        <w:spacing w:after="20"/>
      </w:pPr>
      <w:r>
        <w:t>如果能运行但结果不对，说明“预期现象”和“实际现象”。</w:t>
      </w:r>
    </w:p>
    <w:p>
      <w:pPr>
        <w:pStyle w:val="Note"/>
      </w:pPr>
      <w:r>
        <w:t>默认验收方式：先判断是否满足本关需求，再指出问题和排查方向；除非你明确要求完整答案，否则不直接给一整份可复制代码。</w:t>
      </w:r>
    </w:p>
    <w:p>
      <w:pPr>
        <w:pStyle w:val="Heading1"/>
      </w:pPr>
      <w:r>
        <w:t>当前建议</w:t>
      </w:r>
    </w:p>
    <w:p>
      <w:r>
        <w:t>现在不要同时做所有模块。按顺序先确认第 0、1、2、3 关都稳定，再开始菜单。你已经学过旋转编码器，所以第 2 关的重点不是重新抄一遍代码，而是把它干净地移植进当前工程并能解释 EXTI 的工作流程。</w:t>
      </w:r>
    </w:p>
    <w:sectPr w:rsidR="00FC693F" w:rsidRPr="0006063C" w:rsidSect="00034616">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STM32F103C8T6 多级菜单项目（旋转编码器版）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340" w:right="170"/>
    </w:pPr>
    <w:rPr>
      <w:rFonts w:ascii="Consolas" w:hAnsi="Consolas" w:eastAsia="Microsoft YaHei"/>
      <w:sz w:val="19"/>
    </w:rPr>
  </w:style>
  <w:style w:type="paragraph" w:customStyle="1" w:styleId="Note">
    <w:name w:val="Note"/>
    <w:pPr>
      <w:spacing w:before="60" w:after="60"/>
      <w:ind w:left="283"/>
    </w:pPr>
    <w:rPr>
      <w:rFonts w:ascii="Microsoft YaHei" w:hAnsi="Microsoft YaHei" w:eastAsia="Microsoft YaHe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