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120" w:after="0"/>
              <w:jc w:val="center"/>
              <w:rPr/>
            </w:pPr>
            <w:r>
              <w:rPr>
                <w:b/>
                <w:bCs/>
                <w:color w:val="000000"/>
              </w:rPr>
              <w:t>BỘ TÀI CHÍNH</w:t>
            </w:r>
            <w:r>
              <w:rPr>
                <w:b/>
                <w:bCs/>
              </w:rPr>
              <w:br/>
              <w:t>-------</w:t>
            </w:r>
          </w:p>
        </w:tc>
        <w:tc>
          <w:tcPr>
            <w:tcW w:w="60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color w:val="000000"/>
              </w:rPr>
              <w:t>Số: 19/2026/TT-BTC</w:t>
            </w:r>
          </w:p>
        </w:tc>
        <w:tc>
          <w:tcPr>
            <w:tcW w:w="6085" w:type="dxa"/>
            <w:tcBorders/>
          </w:tcPr>
          <w:p>
            <w:pPr>
              <w:pStyle w:val="Normal"/>
              <w:bidi w:val="0"/>
              <w:spacing w:before="120" w:after="0"/>
              <w:jc w:val="end"/>
              <w:rPr/>
            </w:pPr>
            <w:r>
              <w:rPr>
                <w:i/>
                <w:iCs/>
              </w:rPr>
              <w:t>Hà Nội, ngày 10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BÃI BỎ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 VÀ THÔNG TƯ SỐ 42/2022/TT-BTC NGÀY 06 THÁNG 7 NĂM 2022 CỦA BỘ TRƯỞNG BỘ TÀI CHÍNH SỬA ĐỔI, BỔ SUNG MỘT SỐ ĐIỀU CỦA THÔNG TƯ SỐ 338/2016/TT-BTC</w:t>
      </w:r>
      <w:bookmarkEnd w:id="1"/>
    </w:p>
    <w:p>
      <w:pPr>
        <w:pStyle w:val="Normal"/>
        <w:bidi w:val="0"/>
        <w:spacing w:before="120" w:after="280"/>
        <w:rPr>
          <w:i/>
          <w:iCs/>
        </w:rPr>
      </w:pPr>
      <w:r>
        <w:rPr>
          <w:i/>
          <w:iCs/>
        </w:rPr>
        <w:t>Căn cứ Luật Ngân sách nhà nước số 89/2025/QH15;</w:t>
      </w:r>
    </w:p>
    <w:p>
      <w:pPr>
        <w:pStyle w:val="Normal"/>
        <w:bidi w:val="0"/>
        <w:spacing w:before="120" w:after="280"/>
        <w:rPr>
          <w:i/>
          <w:iCs/>
        </w:rPr>
      </w:pPr>
      <w:r>
        <w:rPr>
          <w:i/>
          <w:iCs/>
        </w:rPr>
        <w:t>Căn cứ Luật Ban hành văn bản quy phạm pháp luật số 64/2025/QH15, được sửa đổi, bổ sung bởi Luật số 87/2025/QH15;</w:t>
      </w:r>
    </w:p>
    <w:p>
      <w:pPr>
        <w:pStyle w:val="Normal"/>
        <w:bidi w:val="0"/>
        <w:spacing w:before="120" w:after="280"/>
        <w:rPr>
          <w:i/>
          <w:iCs/>
        </w:rPr>
      </w:pPr>
      <w:r>
        <w:rPr>
          <w:i/>
          <w:iCs/>
        </w:rPr>
        <w:t>Căn cứ Nghị quyết số 197/2025/QH15 của Quốc hội về một số cơ chế, chính sách đặc biệt tạo đột phá trong xây dựng và tổ chức thi hành pháp luật;</w:t>
      </w:r>
    </w:p>
    <w:p>
      <w:pPr>
        <w:pStyle w:val="Normal"/>
        <w:bidi w:val="0"/>
        <w:spacing w:before="120" w:after="280"/>
        <w:rPr>
          <w:i/>
          <w:iCs/>
        </w:rPr>
      </w:pPr>
      <w:r>
        <w:rPr>
          <w:i/>
          <w:iCs/>
        </w:rPr>
        <w:t>Căn cứ Nghị định số 289/2025/NĐ-CP của Chính phủ hướng dẫn thi hành Nghị quyết số 197/2025/QH15 của Quốc hội về một số cơ chế, chính sách đặc biệt tạo đột phá trong xây dựng và tổ chức thi hành pháp luật;</w:t>
      </w:r>
    </w:p>
    <w:p>
      <w:pPr>
        <w:pStyle w:val="Normal"/>
        <w:bidi w:val="0"/>
        <w:spacing w:before="120" w:after="280"/>
        <w:rPr>
          <w:i/>
          <w:iCs/>
        </w:rPr>
      </w:pPr>
      <w:r>
        <w:rPr>
          <w:i/>
          <w:iCs/>
        </w:rPr>
        <w:t>Căn cứ Nghị định số 29/2025/NĐ-CP của Chính phủ quy định chức năng, nhiệm vụ, quyền hạn và cơ cấu tổ chức của Bộ Tài chính, được sửa đổi, bổ sung một số điều tại Nghị định số 166/2025/NĐ-CP;</w:t>
      </w:r>
    </w:p>
    <w:p>
      <w:pPr>
        <w:pStyle w:val="Normal"/>
        <w:bidi w:val="0"/>
        <w:spacing w:before="120" w:after="280"/>
        <w:rPr>
          <w:i/>
          <w:iCs/>
        </w:rPr>
      </w:pPr>
      <w:r>
        <w:rPr>
          <w:i/>
          <w:iCs/>
        </w:rPr>
        <w:t>Theo đề nghị của Vụ trưởng Vụ Tài chính - Kinh tế ngành;</w:t>
      </w:r>
    </w:p>
    <w:p>
      <w:pPr>
        <w:pStyle w:val="Normal"/>
        <w:bidi w:val="0"/>
        <w:spacing w:before="120" w:after="280"/>
        <w:rPr>
          <w:i/>
          <w:iCs/>
        </w:rPr>
      </w:pPr>
      <w:r>
        <w:rPr>
          <w:i/>
          <w:iCs/>
        </w:rPr>
        <w:t>Bộ trưởng Bộ Tài chính ban hành Thông tư bãi bỏ Thông tư số 338/2016/TT-BTC ngày 28 tháng 12 năm 2016 của Bộ Tài chính quy định lập dự toán, quản lý, sử dụng và quyết toán kinh phí ngân sách nhà nước bảo đảm cho công tác xây dựng văn bản quy phạm pháp luật và hoàn thiện hệ thống pháp luật và Thông tư số 42/2022/TT-BTC ngày 06 tháng 7 năm 2022 của Bộ Tài chính sửa đổi, bổ sung một số Điều của Thông tư số 338/2016/TT-BTC.</w:t>
      </w:r>
    </w:p>
    <w:p>
      <w:pPr>
        <w:pStyle w:val="Normal"/>
        <w:bidi w:val="0"/>
        <w:spacing w:before="120" w:after="280"/>
        <w:rPr>
          <w:b/>
          <w:bCs/>
        </w:rPr>
      </w:pPr>
      <w:bookmarkStart w:id="2" w:name="dieu_1"/>
      <w:r>
        <w:rPr>
          <w:b/>
          <w:bCs/>
        </w:rPr>
        <w:t>Điều 1. Bãi bỏ toàn bộ các Thông tư</w:t>
      </w:r>
      <w:bookmarkEnd w:id="2"/>
    </w:p>
    <w:p>
      <w:pPr>
        <w:pStyle w:val="Normal"/>
        <w:bidi w:val="0"/>
        <w:spacing w:before="120" w:after="280"/>
        <w:rPr/>
      </w:pPr>
      <w:r>
        <w:rPr/>
        <w:t>1.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w:t>
      </w:r>
    </w:p>
    <w:p>
      <w:pPr>
        <w:pStyle w:val="Normal"/>
        <w:bidi w:val="0"/>
        <w:spacing w:before="120" w:after="280"/>
        <w:rPr/>
      </w:pPr>
      <w:r>
        <w:rPr/>
        <w:t>2. Thông tư số 42/2022/TT-BTC ngày 06 tháng 7 năm 2022 của Bộ trưởng Bộ Tài chính sửa đổi, bổ sung một số Điều của Thông tư số 338/2016/TT-BTC.</w:t>
      </w:r>
    </w:p>
    <w:p>
      <w:pPr>
        <w:pStyle w:val="Normal"/>
        <w:bidi w:val="0"/>
        <w:spacing w:before="120" w:after="280"/>
        <w:rPr>
          <w:b/>
          <w:bCs/>
        </w:rPr>
      </w:pPr>
      <w:bookmarkStart w:id="3" w:name="dieu_2"/>
      <w:r>
        <w:rPr>
          <w:b/>
          <w:bCs/>
        </w:rPr>
        <w:t>Điều 2. Điều khoản thi hành</w:t>
      </w:r>
      <w:bookmarkEnd w:id="3"/>
    </w:p>
    <w:p>
      <w:pPr>
        <w:pStyle w:val="Normal"/>
        <w:bidi w:val="0"/>
        <w:spacing w:before="120" w:after="280"/>
        <w:rPr/>
      </w:pPr>
      <w:r>
        <w:rPr/>
        <w:t>1. Thông tư này có hiệu lực thi hành kể từ ngày 01 tháng 5 năm 2026.</w:t>
      </w:r>
    </w:p>
    <w:p>
      <w:pPr>
        <w:pStyle w:val="Normal"/>
        <w:bidi w:val="0"/>
        <w:spacing w:before="120" w:after="280"/>
        <w:rPr/>
      </w:pPr>
      <w:r>
        <w:rPr/>
        <w:t>2. Vụ trưởng Vụ Tài chính - Kinh tế ngành, Thủ trưởng các đơn vị thuộc Bộ Tài chính và các cơ quan, tổ chức, cá nhân có liên quan chịu trách nhiệm thi hành Thông tư này.</w:t>
      </w:r>
    </w:p>
    <w:p>
      <w:pPr>
        <w:pStyle w:val="Normal"/>
        <w:bidi w:val="0"/>
        <w:spacing w:before="120" w:after="280"/>
        <w:rPr>
          <w:b/>
          <w:bCs/>
        </w:rPr>
      </w:pPr>
      <w:bookmarkStart w:id="4" w:name="dieu_3"/>
      <w:r>
        <w:rPr>
          <w:b/>
          <w:bCs/>
        </w:rPr>
        <w:t>Điều 3. Điều khoản chuyển tiếp</w:t>
      </w:r>
      <w:bookmarkEnd w:id="4"/>
    </w:p>
    <w:p>
      <w:pPr>
        <w:pStyle w:val="Normal"/>
        <w:bidi w:val="0"/>
        <w:spacing w:before="120" w:after="280"/>
        <w:rPr/>
      </w:pPr>
      <w:r>
        <w:rPr/>
        <w:t>Việc thanh toán, quyết toán kinh phí ngân sách nhà nước bảo đảm cho công tác xây dựng văn bản quy phạm pháp luật và hoàn thiện hệ thống pháp luật trước ngày 01 tháng 7 năm 2025 thực hiện theo quy định tại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 và Thông tư số 42/2022/TT-BTC ngày 06 tháng 7 năm 2022 của Bộ trưởng Bộ Tài chính sửa đổi, bổ sung một số Điều của Thông tư số 338/2016/TT-BTC./.</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9"/>
        <w:gridCol w:w="4341"/>
      </w:tblGrid>
      <w:tr>
        <w:trPr/>
        <w:tc>
          <w:tcPr>
            <w:tcW w:w="4299"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Văn phòng Trung ương và các Ban của Đảng;</w:t>
              <w:br/>
              <w:t>- Văn phòng Tổng Bí thư;</w:t>
              <w:br/>
              <w:t>- Hội đồng Dân tộc và các Ủy ban của Quốc hội;</w:t>
              <w:br/>
              <w:t>- Văn phòng Quốc hội;</w:t>
              <w:br/>
              <w:t>- Văn phòng Chủ tịch nước;</w:t>
              <w:br/>
              <w:t>- Văn phòng Chính phủ;</w:t>
              <w:br/>
              <w:t>- Viện Kiểm sát nhân dân tối cao;</w:t>
              <w:br/>
              <w:t>- Tòa án nhân dân tối cao;</w:t>
              <w:br/>
              <w:t>- Kiểm toán nhà nước;</w:t>
              <w:br/>
              <w:t>- Các Bộ, cơ quan ngang Bộ, cơ quan thuộc Chính phủ;</w:t>
              <w:br/>
              <w:t>- Ủy ban Trung ương Mặt trận Tổ quốc Việt Nam;</w:t>
              <w:br/>
              <w:t>- HĐND, UBND các tỉnh, thành phố;</w:t>
              <w:br/>
              <w:t>- Sở Tài chính các tỉnh, thành phố;</w:t>
              <w:br/>
              <w:t>- Các KBNN khu vực;</w:t>
              <w:br/>
              <w:t>- Cục Kiểm tra văn bản và Quản lý xử lý vi phạm hành chính, Bộ Tư pháp;</w:t>
              <w:br/>
              <w:t>- Cổng báo, Cổng Thông tin điện tử Chính phủ;</w:t>
              <w:br/>
              <w:t>- Cổng Thông tin điện tử Bộ Tài chính;</w:t>
              <w:br/>
              <w:t>- Các đơn vị thuộc Bộ Tài chính;</w:t>
              <w:br/>
              <w:t>- Lưu: VT, KTN. (90b)</w:t>
            </w:r>
          </w:p>
        </w:tc>
        <w:tc>
          <w:tcPr>
            <w:tcW w:w="4341" w:type="dxa"/>
            <w:tcBorders/>
          </w:tcPr>
          <w:p>
            <w:pPr>
              <w:pStyle w:val="Normal"/>
              <w:bidi w:val="0"/>
              <w:spacing w:before="120" w:after="0"/>
              <w:jc w:val="center"/>
              <w:rPr>
                <w:b/>
                <w:bCs/>
              </w:rPr>
            </w:pPr>
            <w:r>
              <w:rPr>
                <w:b/>
                <w:bCs/>
              </w:rPr>
              <w:t>KT. BỘ TRƯỞNG</w:t>
              <w:br/>
              <w:t>THỨ TRƯỞNG</w:t>
              <w:br/>
              <w:br/>
              <w:br/>
              <w:br/>
              <w:br/>
              <w:t>Nguyễn Thị Bích Ngọc</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