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sz w:val="20"/>
              </w:rPr>
              <w:t>ỦY BAN NHÂN DÂN</w:t>
            </w:r>
            <w:r>
              <w:rPr>
                <w:sz w:val="20"/>
              </w:rPr>
              <w:br/>
            </w:r>
            <w:r>
              <w:rPr>
                <w:b/>
                <w:bCs/>
                <w:sz w:val="20"/>
              </w:rPr>
              <w:t>TỈNH NINH BÌNH</w:t>
            </w:r>
            <w:r>
              <w:rPr>
                <w:sz w:val="20"/>
              </w:rPr>
              <w:br/>
              <w:t>--------</w:t>
            </w:r>
          </w:p>
        </w:tc>
        <w:tc>
          <w:tcPr>
            <w:tcW w:w="6607" w:type="dxa"/>
            <w:tcBorders/>
          </w:tcPr>
          <w:p>
            <w:pPr>
              <w:pStyle w:val="Normal"/>
              <w:bidi w:val="0"/>
              <w:spacing w:before="0" w:after="0"/>
              <w:jc w:val="center"/>
              <w:rPr/>
            </w:pPr>
            <w:r>
              <w:rPr>
                <w:b/>
                <w:bCs/>
                <w:sz w:val="20"/>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sz w:val="20"/>
              </w:rPr>
              <w:t>Số: 33/2026/QĐ-UBND</w:t>
            </w:r>
          </w:p>
        </w:tc>
        <w:tc>
          <w:tcPr>
            <w:tcW w:w="6607" w:type="dxa"/>
            <w:tcBorders/>
          </w:tcPr>
          <w:p>
            <w:pPr>
              <w:pStyle w:val="Normal"/>
              <w:bidi w:val="0"/>
              <w:spacing w:before="0" w:after="0"/>
              <w:jc w:val="end"/>
              <w:rPr/>
            </w:pPr>
            <w:r>
              <w:rPr>
                <w:i/>
                <w:iCs/>
                <w:sz w:val="20"/>
              </w:rPr>
              <w:t>Ninh Bình, ngày 12 tháng 3 năm 2026</w:t>
            </w:r>
          </w:p>
        </w:tc>
      </w:tr>
    </w:tbl>
    <w:p>
      <w:pPr>
        <w:pStyle w:val="Normal"/>
        <w:bidi w:val="0"/>
        <w:spacing w:before="0" w:after="120"/>
        <w:jc w:val="center"/>
        <w:rPr>
          <w:b/>
          <w:bCs/>
          <w:sz w:val="20"/>
        </w:rPr>
      </w:pPr>
      <w:r>
        <w:rPr>
          <w:b/>
          <w:bCs/>
          <w:sz w:val="20"/>
        </w:rPr>
        <w:t> </w:t>
      </w:r>
    </w:p>
    <w:p>
      <w:pPr>
        <w:pStyle w:val="Normal"/>
        <w:bidi w:val="0"/>
        <w:spacing w:before="0" w:after="120"/>
        <w:jc w:val="center"/>
        <w:rPr>
          <w:b/>
          <w:bCs/>
          <w:sz w:val="24"/>
        </w:rPr>
      </w:pPr>
      <w:r>
        <w:rPr>
          <w:b/>
          <w:bCs/>
          <w:sz w:val="24"/>
        </w:rPr>
        <w:t>QUYẾT ĐỊNH</w:t>
      </w:r>
    </w:p>
    <w:p>
      <w:pPr>
        <w:pStyle w:val="Normal"/>
        <w:bidi w:val="0"/>
        <w:spacing w:before="0" w:after="120"/>
        <w:jc w:val="center"/>
        <w:rPr>
          <w:sz w:val="20"/>
        </w:rPr>
      </w:pPr>
      <w:r>
        <w:rPr>
          <w:sz w:val="20"/>
        </w:rPr>
        <w:t>BÃI BỎ CÁC QUYẾT ĐỊNH CỦA ỦY BAN NHÂN DÂN TỈNH NINH BÌNH</w:t>
      </w:r>
    </w:p>
    <w:p>
      <w:pPr>
        <w:pStyle w:val="Normal"/>
        <w:bidi w:val="0"/>
        <w:spacing w:before="0" w:after="120"/>
        <w:rPr>
          <w:i/>
          <w:iCs/>
          <w:sz w:val="20"/>
        </w:rPr>
      </w:pPr>
      <w:r>
        <w:rPr>
          <w:i/>
          <w:iCs/>
          <w:sz w:val="20"/>
        </w:rPr>
        <w:t>Căn cứ Luật Tổ chức chính quyền địa phương số 72/2025/QH15;</w:t>
      </w:r>
    </w:p>
    <w:p>
      <w:pPr>
        <w:pStyle w:val="Normal"/>
        <w:bidi w:val="0"/>
        <w:spacing w:before="0" w:after="120"/>
        <w:rPr>
          <w:i/>
          <w:iCs/>
          <w:sz w:val="20"/>
        </w:rPr>
      </w:pPr>
      <w:r>
        <w:rPr>
          <w:i/>
          <w:iCs/>
          <w:sz w:val="20"/>
        </w:rPr>
        <w:t>Căn cứ Luật Ban hành văn bản quy phạm pháp luật số 64/2025/QH15 được sửa đổi, bổ sung bởi Luật số 87/2025/QH15;</w:t>
      </w:r>
    </w:p>
    <w:p>
      <w:pPr>
        <w:pStyle w:val="Normal"/>
        <w:bidi w:val="0"/>
        <w:spacing w:before="0" w:after="120"/>
        <w:rPr>
          <w:i/>
          <w:iCs/>
          <w:sz w:val="20"/>
        </w:rPr>
      </w:pPr>
      <w:r>
        <w:rPr>
          <w:i/>
          <w:iCs/>
          <w:sz w:val="20"/>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pPr>
        <w:pStyle w:val="Normal"/>
        <w:bidi w:val="0"/>
        <w:spacing w:before="0" w:after="120"/>
        <w:rPr>
          <w:i/>
          <w:iCs/>
          <w:sz w:val="20"/>
        </w:rPr>
      </w:pPr>
      <w:r>
        <w:rPr>
          <w:i/>
          <w:iCs/>
          <w:sz w:val="20"/>
        </w:rPr>
        <w:t>Căn cứ Nghị định số 158/2018/NĐ-CP quy định về thành lập, tổ chức lại, giải thể tổ chức hành chính được sửa đổi, bổ sung bởi Nghị định số 303/2025/NĐ-CP;</w:t>
      </w:r>
    </w:p>
    <w:p>
      <w:pPr>
        <w:pStyle w:val="Normal"/>
        <w:bidi w:val="0"/>
        <w:spacing w:before="0" w:after="120"/>
        <w:rPr>
          <w:i/>
          <w:iCs/>
          <w:sz w:val="20"/>
        </w:rPr>
      </w:pPr>
      <w:r>
        <w:rPr>
          <w:i/>
          <w:iCs/>
          <w:sz w:val="20"/>
        </w:rPr>
        <w:t>Căn cứ Nghị định số 120/2020/NĐ-CP quy định về thành lập, tổ chức lại, giải thể đơn vị sự nghiệp công lập được sửa đổi, bổ sung bởi Nghị định số 283/2025/NĐ-CP;</w:t>
      </w:r>
    </w:p>
    <w:p>
      <w:pPr>
        <w:pStyle w:val="Normal"/>
        <w:bidi w:val="0"/>
        <w:spacing w:before="0" w:after="120"/>
        <w:rPr>
          <w:i/>
          <w:iCs/>
          <w:sz w:val="20"/>
        </w:rPr>
      </w:pPr>
      <w:r>
        <w:rPr>
          <w:i/>
          <w:iCs/>
          <w:sz w:val="20"/>
        </w:rPr>
        <w:t>Căn cứ Nghị định số 150/2025/NĐ-CP quy định tổ chức các cơ quan chuyên môn thuộc Ủy ban nhân dân tỉnh, thành phố trực thuộc trung ương và Ủy ban nhân dân xã, phường, đặc khu thuộc tỉnh, thành phố trực thuộc trung ương được sửa đổi, bổ sung bởi Nghị định số 370/2025/NĐ-CP;</w:t>
      </w:r>
    </w:p>
    <w:p>
      <w:pPr>
        <w:pStyle w:val="Normal"/>
        <w:bidi w:val="0"/>
        <w:spacing w:before="0" w:after="120"/>
        <w:rPr>
          <w:i/>
          <w:iCs/>
          <w:sz w:val="20"/>
        </w:rPr>
      </w:pPr>
      <w:r>
        <w:rPr>
          <w:i/>
          <w:iCs/>
          <w:sz w:val="20"/>
        </w:rPr>
        <w:t>Căn cứ Thông tư số 10/2025/TT-BNV 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p>
    <w:p>
      <w:pPr>
        <w:pStyle w:val="Normal"/>
        <w:bidi w:val="0"/>
        <w:spacing w:before="0" w:after="120"/>
        <w:rPr>
          <w:i/>
          <w:iCs/>
          <w:sz w:val="20"/>
        </w:rPr>
      </w:pPr>
      <w:r>
        <w:rPr>
          <w:i/>
          <w:iCs/>
          <w:sz w:val="20"/>
        </w:rPr>
        <w:t>Theo đề nghị của Giám đốc Sở Nội vụ;</w:t>
      </w:r>
    </w:p>
    <w:p>
      <w:pPr>
        <w:pStyle w:val="Normal"/>
        <w:bidi w:val="0"/>
        <w:spacing w:before="0" w:after="120"/>
        <w:rPr>
          <w:i/>
          <w:iCs/>
          <w:sz w:val="20"/>
        </w:rPr>
      </w:pPr>
      <w:r>
        <w:rPr>
          <w:i/>
          <w:iCs/>
          <w:sz w:val="20"/>
        </w:rPr>
        <w:t>Ủy ban nhân dân ban hành Quyết định bãi bỏ các quyết định của Ủy ban nhân dân tỉnh Ninh Bình.</w:t>
      </w:r>
    </w:p>
    <w:p>
      <w:pPr>
        <w:pStyle w:val="Normal"/>
        <w:bidi w:val="0"/>
        <w:spacing w:before="0" w:after="120"/>
        <w:rPr>
          <w:b/>
          <w:bCs/>
          <w:sz w:val="20"/>
        </w:rPr>
      </w:pPr>
      <w:r>
        <w:rPr>
          <w:b/>
          <w:bCs/>
          <w:sz w:val="20"/>
        </w:rPr>
        <w:t>Điều 1. Bãi bỏ toàn bộ các quyết định sau đây</w:t>
      </w:r>
    </w:p>
    <w:p>
      <w:pPr>
        <w:pStyle w:val="Normal"/>
        <w:bidi w:val="0"/>
        <w:spacing w:before="0" w:after="120"/>
        <w:rPr>
          <w:sz w:val="20"/>
        </w:rPr>
      </w:pPr>
      <w:r>
        <w:rPr>
          <w:sz w:val="20"/>
        </w:rPr>
        <w:t>1. Quyết định số 06/2025/QĐ-UBND ngày 01 tháng 7 năm 2025 của Ủy ban nhân dân tỉnh Ninh Bình ban hành Quy định chức năng, nhiệm vụ, quyền hạn và cơ cấu tổ chức của Sở Nội vụ tỉnh Ninh Bình.</w:t>
      </w:r>
    </w:p>
    <w:p>
      <w:pPr>
        <w:pStyle w:val="Normal"/>
        <w:bidi w:val="0"/>
        <w:spacing w:before="0" w:after="120"/>
        <w:rPr>
          <w:sz w:val="20"/>
        </w:rPr>
      </w:pPr>
      <w:r>
        <w:rPr>
          <w:sz w:val="20"/>
        </w:rPr>
        <w:t>2. Quyết định số 91/2025/QĐ-UBND ngày 01 tháng 9 năm 2025 của Ủy ban nhân dân tỉnh Ninh Bình ban hành Quy định chức năng, nhiệm vụ, quyền hạn và cơ cấu tổ chức của Trung tâm Điều dưỡng Người có công Ninh Bình trực thuộc Sở Nội vụ tỉnh Ninh Bình.</w:t>
      </w:r>
    </w:p>
    <w:p>
      <w:pPr>
        <w:pStyle w:val="Normal"/>
        <w:bidi w:val="0"/>
        <w:spacing w:before="0" w:after="120"/>
        <w:rPr>
          <w:sz w:val="20"/>
        </w:rPr>
      </w:pPr>
      <w:r>
        <w:rPr>
          <w:sz w:val="20"/>
        </w:rPr>
        <w:t>3. Quyết định số 94/2025/QĐ-UBND ngày 05 tháng 9 năm 2025 của Ủy ban nhân dân tỉnh Ninh Bình ban hành Quy định chức năng, nhiệm vụ, quyền hạn và cơ cấu tổ chức của Trung tâm Nuôi dưỡng thương bệnh binh nặng và Điều dưỡng Người có công Hà Nam thuộc Sở Nội vụ tỉnh Ninh Bình.</w:t>
      </w:r>
    </w:p>
    <w:p>
      <w:pPr>
        <w:pStyle w:val="Normal"/>
        <w:bidi w:val="0"/>
        <w:spacing w:before="0" w:after="120"/>
        <w:rPr>
          <w:sz w:val="20"/>
        </w:rPr>
      </w:pPr>
      <w:r>
        <w:rPr>
          <w:sz w:val="20"/>
        </w:rPr>
        <w:t>4. Quyết định số 95/2025/QĐ-UBND ngày 05 tháng 9 năm 2025 của Ủy ban nhân dân tỉnh Ninh Bình ban hành Quy định chức năng, nhiệm vụ, quyền hạn và cơ cấu tổ chức của Trung tâm Điều dưỡng Người có công Nam Định thuộc Sở Nội vụ tỉnh Ninh Bình.</w:t>
      </w:r>
    </w:p>
    <w:p>
      <w:pPr>
        <w:pStyle w:val="Normal"/>
        <w:bidi w:val="0"/>
        <w:spacing w:before="0" w:after="120"/>
        <w:rPr>
          <w:b/>
          <w:bCs/>
          <w:sz w:val="20"/>
        </w:rPr>
      </w:pPr>
      <w:r>
        <w:rPr>
          <w:b/>
          <w:bCs/>
          <w:sz w:val="20"/>
        </w:rPr>
        <w:t>Điều 2. Hiệu lực thi hành</w:t>
      </w:r>
    </w:p>
    <w:p>
      <w:pPr>
        <w:pStyle w:val="Normal"/>
        <w:bidi w:val="0"/>
        <w:spacing w:before="0" w:after="120"/>
        <w:rPr>
          <w:sz w:val="20"/>
        </w:rPr>
      </w:pPr>
      <w:r>
        <w:rPr>
          <w:sz w:val="20"/>
        </w:rPr>
        <w:t>Quyết định này có hiệu lực thi hành kể từ ngày 12 tháng 3 năm 2026.</w:t>
      </w:r>
    </w:p>
    <w:p>
      <w:pPr>
        <w:pStyle w:val="Normal"/>
        <w:bidi w:val="0"/>
        <w:spacing w:before="0" w:after="120"/>
        <w:rPr>
          <w:b/>
          <w:bCs/>
          <w:sz w:val="20"/>
        </w:rPr>
      </w:pPr>
      <w:r>
        <w:rPr>
          <w:b/>
          <w:bCs/>
          <w:sz w:val="20"/>
        </w:rPr>
        <w:t>Điều 3. Tổ chức thực hiện</w:t>
      </w:r>
    </w:p>
    <w:p>
      <w:pPr>
        <w:pStyle w:val="Normal"/>
        <w:bidi w:val="0"/>
        <w:spacing w:before="0" w:after="120"/>
        <w:rPr>
          <w:sz w:val="20"/>
        </w:rPr>
      </w:pPr>
      <w:r>
        <w:rPr>
          <w:sz w:val="20"/>
        </w:rPr>
        <w:t>Chánh Văn phòng Ủy ban nhân dân tỉnh, Giám đốc Sở Nội vụ, Giám đốc Trung tâm Điều dưỡng người có công tỉnh Ninh Bình, Thủ trưởng các cơ quan, đơn vị, tổ chức và cá nhân có liên quan chịu trách nhiệm thi hành Quyết định này./.</w:t>
      </w:r>
    </w:p>
    <w:p>
      <w:pPr>
        <w:pStyle w:val="Normal"/>
        <w:bidi w:val="0"/>
        <w:spacing w:before="0" w:after="120"/>
        <w:rPr>
          <w:sz w:val="20"/>
        </w:rPr>
      </w:pPr>
      <w:r>
        <w:rPr>
          <w:sz w:val="20"/>
        </w:rPr>
        <w:t> </w:t>
      </w:r>
    </w:p>
    <w:tbl>
      <w:tblPr>
        <w:tblW w:w="8640" w:type="dxa"/>
        <w:jc w:val="start"/>
        <w:tblInd w:w="0" w:type="dxa"/>
        <w:tblLayout w:type="fixed"/>
        <w:tblCellMar>
          <w:top w:w="0" w:type="dxa"/>
          <w:start w:w="108" w:type="dxa"/>
          <w:bottom w:w="0" w:type="dxa"/>
          <w:end w:w="108" w:type="dxa"/>
        </w:tblCellMar>
      </w:tblPr>
      <w:tblGrid>
        <w:gridCol w:w="4026"/>
        <w:gridCol w:w="4614"/>
      </w:tblGrid>
      <w:tr>
        <w:trPr/>
        <w:tc>
          <w:tcPr>
            <w:tcW w:w="4026" w:type="dxa"/>
            <w:tcBorders/>
          </w:tcPr>
          <w:p>
            <w:pPr>
              <w:pStyle w:val="Normal"/>
              <w:bidi w:val="0"/>
              <w:spacing w:before="0" w:after="120"/>
              <w:rPr>
                <w:sz w:val="16"/>
              </w:rPr>
            </w:pPr>
            <w:r>
              <w:rPr>
                <w:sz w:val="16"/>
              </w:rPr>
              <w:t> </w:t>
            </w:r>
          </w:p>
          <w:p>
            <w:pPr>
              <w:pStyle w:val="Normal"/>
              <w:bidi w:val="0"/>
              <w:spacing w:before="0" w:after="0"/>
              <w:rPr/>
            </w:pPr>
            <w:r>
              <w:rPr>
                <w:b/>
                <w:bCs/>
                <w:i/>
                <w:iCs/>
                <w:sz w:val="20"/>
              </w:rPr>
              <w:t>Nơi nhận:</w:t>
              <w:br/>
            </w:r>
            <w:r>
              <w:rPr>
                <w:sz w:val="16"/>
              </w:rPr>
              <w:t>- Vụ Pháp chế, Bộ Nội vụ;</w:t>
              <w:br/>
              <w:t>- Cục Kiểm tra văn bản và Tổ chức thi hành pháp luật, Bộ Tư pháp;</w:t>
              <w:br/>
              <w:t>- Thường trực HĐND tỉnh;</w:t>
              <w:br/>
              <w:t>- Lãnh đạo UBND tỉnh;</w:t>
              <w:br/>
              <w:t>- Đoàn đại biểu Quốc hội tỉnh;</w:t>
              <w:br/>
              <w:t>- Như Điều 3;</w:t>
              <w:br/>
              <w:t>- Ủy ban MTTQ Việt Nam tỉnh;</w:t>
              <w:br/>
              <w:t>- Sở Tư pháp;</w:t>
              <w:br/>
              <w:t>- Cổng thông tin điện tử Chính phủ;</w:t>
              <w:br/>
              <w:t>- Cổng thông tin điện tử tỉnh;</w:t>
              <w:br/>
              <w:t>- Trung tâm Thông tin - Công báo;</w:t>
              <w:br/>
              <w:t>- Lưu: VT, VP7.</w:t>
              <w:br/>
              <w:t>TC_VP7_TCBM_92</w:t>
            </w:r>
          </w:p>
        </w:tc>
        <w:tc>
          <w:tcPr>
            <w:tcW w:w="4614" w:type="dxa"/>
            <w:tcBorders/>
          </w:tcPr>
          <w:p>
            <w:pPr>
              <w:pStyle w:val="Normal"/>
              <w:bidi w:val="0"/>
              <w:spacing w:before="0" w:after="0"/>
              <w:jc w:val="center"/>
              <w:rPr/>
            </w:pPr>
            <w:r>
              <w:rPr>
                <w:b/>
                <w:bCs/>
                <w:sz w:val="20"/>
              </w:rPr>
              <w:t>TM. ỦY BAN NHÂN DÂN</w:t>
            </w:r>
            <w:r>
              <w:rPr>
                <w:sz w:val="20"/>
              </w:rPr>
              <w:br/>
            </w:r>
            <w:r>
              <w:rPr>
                <w:b/>
                <w:bCs/>
                <w:sz w:val="20"/>
              </w:rPr>
              <w:t>CHỦ TỊCH</w:t>
            </w:r>
            <w:r>
              <w:rPr>
                <w:sz w:val="20"/>
              </w:rPr>
              <w:br/>
              <w:br/>
              <w:br/>
              <w:br/>
              <w:br/>
            </w:r>
            <w:r>
              <w:rPr>
                <w:b/>
                <w:bCs/>
                <w:sz w:val="20"/>
              </w:rPr>
              <w:t>Nguyễn Thanh Bình</w:t>
            </w:r>
          </w:p>
        </w:tc>
      </w:tr>
    </w:tbl>
    <w:p>
      <w:pPr>
        <w:pStyle w:val="Normal"/>
        <w:bidi w:val="0"/>
        <w:spacing w:before="0" w:after="120"/>
        <w:rPr>
          <w:sz w:val="20"/>
        </w:rPr>
      </w:pPr>
      <w:r>
        <w:rPr>
          <w:sz w:val="20"/>
        </w:rPr>
        <w:t> </w:t>
      </w:r>
    </w:p>
    <w:p>
      <w:pPr>
        <w:pStyle w:val="Normal"/>
        <w:bidi w:val="0"/>
        <w:spacing w:before="0" w:after="120"/>
        <w:rPr>
          <w:b/>
          <w:bCs/>
          <w:sz w:val="20"/>
        </w:rPr>
      </w:pPr>
      <w:r>
        <w:rPr>
          <w:b/>
          <w:bCs/>
          <w:sz w:val="20"/>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