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857"/>
        <w:gridCol w:w="6115"/>
      </w:tblGrid>
      <w:tr>
        <w:trPr/>
        <w:tc>
          <w:tcPr>
            <w:tcW w:w="3857" w:type="dxa"/>
            <w:tcBorders/>
          </w:tcPr>
          <w:p>
            <w:pPr>
              <w:pStyle w:val="Normal"/>
              <w:bidi w:val="0"/>
              <w:spacing w:before="0" w:after="0"/>
              <w:jc w:val="center"/>
              <w:rPr/>
            </w:pPr>
            <w:r>
              <w:rPr>
                <w:b/>
                <w:bCs/>
                <w:sz w:val="20"/>
              </w:rPr>
              <w:t xml:space="preserve">UỶ BAN NHÂN DÂN </w:t>
              <w:br/>
              <w:t>TỈNH LAI CHÂU</w:t>
              <w:br/>
              <w:t>--------</w:t>
            </w:r>
          </w:p>
        </w:tc>
        <w:tc>
          <w:tcPr>
            <w:tcW w:w="6115" w:type="dxa"/>
            <w:tcBorders/>
          </w:tcPr>
          <w:p>
            <w:pPr>
              <w:pStyle w:val="Normal"/>
              <w:bidi w:val="0"/>
              <w:spacing w:before="0" w:after="0"/>
              <w:jc w:val="center"/>
              <w:rPr/>
            </w:pPr>
            <w:r>
              <w:rPr>
                <w:b/>
                <w:bCs/>
                <w:sz w:val="20"/>
              </w:rPr>
              <w:t>CỘNG HÒA XÃ HỘI CHỦ NGHĨA VIỆT NAM</w:t>
              <w:br/>
              <w:t xml:space="preserve">Độc lập - Tự do - Hạnh phúc </w:t>
              <w:br/>
              <w:t>---------------</w:t>
            </w:r>
          </w:p>
        </w:tc>
      </w:tr>
      <w:tr>
        <w:trPr/>
        <w:tc>
          <w:tcPr>
            <w:tcW w:w="3857" w:type="dxa"/>
            <w:tcBorders/>
          </w:tcPr>
          <w:p>
            <w:pPr>
              <w:pStyle w:val="Normal"/>
              <w:bidi w:val="0"/>
              <w:spacing w:before="0" w:after="0"/>
              <w:jc w:val="center"/>
              <w:rPr/>
            </w:pPr>
            <w:r>
              <w:rPr>
                <w:sz w:val="20"/>
              </w:rPr>
              <w:t>Số: 367/QĐ-UBND</w:t>
            </w:r>
          </w:p>
        </w:tc>
        <w:tc>
          <w:tcPr>
            <w:tcW w:w="6115" w:type="dxa"/>
            <w:tcBorders/>
          </w:tcPr>
          <w:p>
            <w:pPr>
              <w:pStyle w:val="Normal"/>
              <w:bidi w:val="0"/>
              <w:spacing w:before="0" w:after="0"/>
              <w:jc w:val="end"/>
              <w:rPr/>
            </w:pPr>
            <w:r>
              <w:rPr>
                <w:i/>
                <w:iCs/>
                <w:sz w:val="20"/>
              </w:rPr>
              <w:t>Lai Châu, ngày 09 tháng 3 năm 2026</w:t>
            </w:r>
          </w:p>
        </w:tc>
      </w:tr>
    </w:tbl>
    <w:p>
      <w:pPr>
        <w:pStyle w:val="Normal"/>
        <w:bidi w:val="0"/>
        <w:spacing w:before="0" w:after="120"/>
        <w:rPr>
          <w:sz w:val="20"/>
        </w:rPr>
      </w:pPr>
      <w:r>
        <w:rPr>
          <w:sz w:val="20"/>
        </w:rPr>
        <w:t> </w:t>
      </w:r>
    </w:p>
    <w:p>
      <w:pPr>
        <w:pStyle w:val="Normal"/>
        <w:bidi w:val="0"/>
        <w:spacing w:before="0" w:after="120"/>
        <w:jc w:val="center"/>
        <w:rPr>
          <w:b/>
          <w:bCs/>
          <w:sz w:val="24"/>
        </w:rPr>
      </w:pPr>
      <w:r>
        <w:rPr>
          <w:b/>
          <w:bCs/>
          <w:sz w:val="24"/>
        </w:rPr>
        <w:t>QUYẾT ĐỊNH</w:t>
      </w:r>
    </w:p>
    <w:p>
      <w:pPr>
        <w:pStyle w:val="Normal"/>
        <w:bidi w:val="0"/>
        <w:spacing w:before="0" w:after="120"/>
        <w:jc w:val="center"/>
        <w:rPr>
          <w:sz w:val="20"/>
        </w:rPr>
      </w:pPr>
      <w:r>
        <w:rPr>
          <w:sz w:val="20"/>
        </w:rPr>
        <w:t>VỀ VIỆC CÔNG BỐ DANH MỤC THỦ TỤC HÀNH CHÍNH BỊ BÃI BỎ LĨNH VỰC PHÒNG BỆNH THUỘC PHẠM VI CHỨC NĂNG QUẢN LÝ CỦA SỞ Y TẾ TỈNH LAI CHÂU</w:t>
      </w:r>
    </w:p>
    <w:p>
      <w:pPr>
        <w:pStyle w:val="Normal"/>
        <w:bidi w:val="0"/>
        <w:spacing w:before="0" w:after="120"/>
        <w:jc w:val="center"/>
        <w:rPr>
          <w:b/>
          <w:bCs/>
          <w:sz w:val="24"/>
        </w:rPr>
      </w:pPr>
      <w:r>
        <w:rPr>
          <w:b/>
          <w:bCs/>
          <w:sz w:val="24"/>
        </w:rPr>
        <w:t>CHỦ TỊCH ỦY BAN NHÂN DÂN TỈNH LAI CHÂU</w:t>
      </w:r>
    </w:p>
    <w:p>
      <w:pPr>
        <w:pStyle w:val="Normal"/>
        <w:bidi w:val="0"/>
        <w:spacing w:before="0" w:after="120"/>
        <w:rPr>
          <w:i/>
          <w:iCs/>
          <w:sz w:val="20"/>
        </w:rPr>
      </w:pPr>
      <w:r>
        <w:rPr>
          <w:i/>
          <w:iCs/>
          <w:sz w:val="20"/>
        </w:rPr>
        <w:t>Căn cứ Luật Tổ chức chính quyền địa phương ngày 16/6/2025;</w:t>
      </w:r>
    </w:p>
    <w:p>
      <w:pPr>
        <w:pStyle w:val="Normal"/>
        <w:bidi w:val="0"/>
        <w:spacing w:before="0" w:after="120"/>
        <w:rPr>
          <w:i/>
          <w:iCs/>
          <w:sz w:val="20"/>
        </w:rPr>
      </w:pPr>
      <w:r>
        <w:rPr>
          <w:i/>
          <w:iCs/>
          <w:sz w:val="20"/>
        </w:rPr>
        <w:t>Căn cứ Nghị định số 63/2010/NĐ-CP ngày 08 tháng 6 năm 2010 của Chính phủ về kiểm soát thủ tục hành chính; Nghị định số 92/2017/NĐ-CP ngày 07 tháng 8 năm 2017 của Chính phủ sửa đổi, bổ sung một số điều của các Nghị định liên quan đến kiểm soát thủ tục hành chính;</w:t>
      </w:r>
    </w:p>
    <w:p>
      <w:pPr>
        <w:pStyle w:val="Normal"/>
        <w:bidi w:val="0"/>
        <w:spacing w:before="0" w:after="120"/>
        <w:rPr>
          <w:i/>
          <w:iCs/>
          <w:sz w:val="20"/>
        </w:rPr>
      </w:pPr>
      <w:r>
        <w:rPr>
          <w:i/>
          <w:iCs/>
          <w:sz w:val="20"/>
        </w:rPr>
        <w:t>Căn cứ Nghị định số 45/2020/NĐ-CP ngày 08 tháng 4 năm 2020 của Chính phủ về thực hiện thủ tục hành chính trên môi trường điện tử; Nghị định số 42/2022/NĐ-CP ngày 24 tháng 6 năm 2022 của Chính phủ về việc cung cấp thông tin và dịch vụ công trực tuyến của cơ quan nhà nước trên môi trường mạng;</w:t>
      </w:r>
    </w:p>
    <w:p>
      <w:pPr>
        <w:pStyle w:val="Normal"/>
        <w:bidi w:val="0"/>
        <w:spacing w:before="0" w:after="120"/>
        <w:rPr>
          <w:i/>
          <w:iCs/>
          <w:sz w:val="20"/>
        </w:rPr>
      </w:pPr>
      <w:r>
        <w:rPr>
          <w:i/>
          <w:iCs/>
          <w:sz w:val="20"/>
        </w:rPr>
        <w:t>Căn cứ Nghị định số 118/2025/NĐ-CP ngày 09 tháng 6 năm 2025 của Chính phủ về thực hiện thủ tục hành chính theo cơ chế một cửa, một cửa liên thông tại Bộ phận Một cửa và Cổng Dịch vụ công quốc gia; Nghị định số 367/2025/NĐ-CP ngày 31 tháng 12 năm 2025 của Chính phủ về sửa đổi, bổ sung một số điều của Nghị định số 118/2025/NĐ-CP của Chính phủ;</w:t>
      </w:r>
    </w:p>
    <w:p>
      <w:pPr>
        <w:pStyle w:val="Normal"/>
        <w:bidi w:val="0"/>
        <w:spacing w:before="0" w:after="120"/>
        <w:rPr>
          <w:i/>
          <w:iCs/>
          <w:sz w:val="20"/>
        </w:rPr>
      </w:pPr>
      <w:r>
        <w:rPr>
          <w:i/>
          <w:iCs/>
          <w:sz w:val="20"/>
        </w:rPr>
        <w:t>Căn cứ Thông tư số 02/2017/TT-VPCP ngày 31 tháng 10 năm 2017 của Bộ trưởng, Chủ nhiệm Văn phòng Chính phủ hướng dẫn về nghiệp vụ kiểm soát thủ tục hành chính; Thông tư số 03/2025/TT-VPCP ngày 15 tháng 9 năm 2025 của Bộ trưởng, Chủ nhiệm Văn phòng Chính phủ hướng dẫn thi hành một số nội dung của Nghị định số 118/2025/NĐ-CP ngày 09 tháng 6 năm 2025 của Chính phủ về thực hiện thủ tục hành chính theo cơ chế một cửa, một cửa liên thông tại Bộ phận Một cửa và Cổng Dịch vụ công quốc gia;</w:t>
      </w:r>
    </w:p>
    <w:p>
      <w:pPr>
        <w:pStyle w:val="Normal"/>
        <w:bidi w:val="0"/>
        <w:spacing w:before="0" w:after="120"/>
        <w:rPr>
          <w:i/>
          <w:iCs/>
          <w:sz w:val="20"/>
        </w:rPr>
      </w:pPr>
      <w:r>
        <w:rPr>
          <w:i/>
          <w:iCs/>
          <w:sz w:val="20"/>
        </w:rPr>
        <w:t>Căn cứ Quyết định số 569/QĐ-BYT ngày 05 tháng 3 năm 2026 của Bộ trưởng Bộ Y tế về việc công bố thủ tục hành chính bị bãi bỏ lĩnh vực Phòng bệnh quy định tại Thông tư số 03/2026/TT-BYT ngày 12 tháng 02 năm 2026 của Bộ trưởng Bộ Y tế bãi bỏ một số văn bản quy phạm pháp luật do Bộ trưởng Bộ Y tế ban hành.</w:t>
      </w:r>
    </w:p>
    <w:p>
      <w:pPr>
        <w:pStyle w:val="Normal"/>
        <w:bidi w:val="0"/>
        <w:spacing w:before="0" w:after="120"/>
        <w:rPr>
          <w:i/>
          <w:iCs/>
          <w:sz w:val="20"/>
        </w:rPr>
      </w:pPr>
      <w:r>
        <w:rPr>
          <w:i/>
          <w:iCs/>
          <w:sz w:val="20"/>
        </w:rPr>
        <w:t>Theo đề nghị của Giám đốc Sở Y tế tại Tờ trình số 32/TTr-SYT ngày 08 tháng 3 năm 2026.</w:t>
      </w:r>
    </w:p>
    <w:p>
      <w:pPr>
        <w:pStyle w:val="Normal"/>
        <w:bidi w:val="0"/>
        <w:spacing w:before="0" w:after="120"/>
        <w:jc w:val="center"/>
        <w:rPr>
          <w:b/>
          <w:bCs/>
          <w:sz w:val="24"/>
        </w:rPr>
      </w:pPr>
      <w:r>
        <w:rPr>
          <w:b/>
          <w:bCs/>
          <w:sz w:val="24"/>
        </w:rPr>
        <w:t>QUYẾT ĐỊNH:</w:t>
      </w:r>
    </w:p>
    <w:p>
      <w:pPr>
        <w:pStyle w:val="Normal"/>
        <w:bidi w:val="0"/>
        <w:spacing w:before="0" w:after="120"/>
        <w:rPr/>
      </w:pPr>
      <w:r>
        <w:rPr>
          <w:b/>
          <w:bCs/>
          <w:sz w:val="20"/>
        </w:rPr>
        <w:t xml:space="preserve">Điều 1. </w:t>
      </w:r>
      <w:r>
        <w:rPr>
          <w:sz w:val="20"/>
        </w:rPr>
        <w:t>Công bố kèm theo Quyết định này Danh mục 04 thủ tục hành chính bị bãi bỏ lĩnh vực Phòng bệnh thuộc phạm vi chức năng quản lý của Sở Y tế tỉnh Lai Châu.</w:t>
      </w:r>
    </w:p>
    <w:p>
      <w:pPr>
        <w:pStyle w:val="Normal"/>
        <w:bidi w:val="0"/>
        <w:spacing w:before="0" w:after="120"/>
        <w:jc w:val="center"/>
        <w:rPr>
          <w:i/>
          <w:iCs/>
          <w:sz w:val="20"/>
        </w:rPr>
      </w:pPr>
      <w:r>
        <w:rPr>
          <w:i/>
          <w:iCs/>
          <w:sz w:val="20"/>
        </w:rPr>
        <w:t>(Có Phụ lục chi tiết kèm theo)</w:t>
      </w:r>
    </w:p>
    <w:p>
      <w:pPr>
        <w:pStyle w:val="Normal"/>
        <w:bidi w:val="0"/>
        <w:spacing w:before="0" w:after="120"/>
        <w:rPr/>
      </w:pPr>
      <w:r>
        <w:rPr>
          <w:b/>
          <w:bCs/>
          <w:sz w:val="20"/>
        </w:rPr>
        <w:t xml:space="preserve">Điều 2. </w:t>
      </w:r>
      <w:r>
        <w:rPr>
          <w:sz w:val="20"/>
        </w:rPr>
        <w:t>Quyết định này có hiệu lực thi hành từ ngày 15/02/2026. Các thủ tục hành chính công bố trước đây trái với Quyết định này đều bị bãi bỏ.</w:t>
      </w:r>
    </w:p>
    <w:p>
      <w:pPr>
        <w:pStyle w:val="Normal"/>
        <w:bidi w:val="0"/>
        <w:spacing w:before="0" w:after="120"/>
        <w:rPr/>
      </w:pPr>
      <w:r>
        <w:rPr>
          <w:b/>
          <w:bCs/>
          <w:sz w:val="20"/>
        </w:rPr>
        <w:t xml:space="preserve">Điều 3. </w:t>
      </w:r>
      <w:r>
        <w:rPr>
          <w:sz w:val="20"/>
        </w:rPr>
        <w:t>Chánh Văn phòng Ủy ban nhân dân tỉnh, Giám đốc Sở Y tế, Chủ tịch UBND các xã, phường; Giám đốc Trung tâm Phục vụ hành chính công cấp tỉnh, cấp xã; Thủ trưởng các cơ quan, đơn vị, tổ chức, cá nhân có liên quan chịu trách nhiệm thi hành Quyết định này./.</w:t>
      </w:r>
    </w:p>
    <w:p>
      <w:pPr>
        <w:pStyle w:val="Normal"/>
        <w:bidi w:val="0"/>
        <w:spacing w:before="0" w:after="120"/>
        <w:rPr>
          <w:sz w:val="20"/>
        </w:rPr>
      </w:pPr>
      <w:r>
        <w:rPr>
          <w:sz w:val="20"/>
        </w:rPr>
        <w:t> </w:t>
      </w:r>
    </w:p>
    <w:tbl>
      <w:tblPr>
        <w:tblW w:w="8640" w:type="dxa"/>
        <w:jc w:val="start"/>
        <w:tblInd w:w="0" w:type="dxa"/>
        <w:tblLayout w:type="fixed"/>
        <w:tblCellMar>
          <w:top w:w="0" w:type="dxa"/>
          <w:start w:w="108" w:type="dxa"/>
          <w:bottom w:w="0" w:type="dxa"/>
          <w:end w:w="108" w:type="dxa"/>
        </w:tblCellMar>
      </w:tblPr>
      <w:tblGrid>
        <w:gridCol w:w="3988"/>
        <w:gridCol w:w="4652"/>
      </w:tblGrid>
      <w:tr>
        <w:trPr/>
        <w:tc>
          <w:tcPr>
            <w:tcW w:w="3988" w:type="dxa"/>
            <w:tcBorders/>
          </w:tcPr>
          <w:p>
            <w:pPr>
              <w:pStyle w:val="Normal"/>
              <w:bidi w:val="0"/>
              <w:spacing w:before="0" w:after="120"/>
              <w:rPr>
                <w:b/>
                <w:bCs/>
                <w:i/>
                <w:iCs/>
                <w:sz w:val="16"/>
              </w:rPr>
            </w:pPr>
            <w:r>
              <w:rPr>
                <w:b/>
                <w:bCs/>
                <w:i/>
                <w:iCs/>
                <w:sz w:val="16"/>
              </w:rPr>
              <w:t> </w:t>
            </w:r>
          </w:p>
          <w:p>
            <w:pPr>
              <w:pStyle w:val="Normal"/>
              <w:bidi w:val="0"/>
              <w:spacing w:before="0" w:after="0"/>
              <w:rPr/>
            </w:pPr>
            <w:r>
              <w:rPr>
                <w:b/>
                <w:bCs/>
                <w:i/>
                <w:iCs/>
                <w:sz w:val="20"/>
              </w:rPr>
              <w:t>Nơi nhận:</w:t>
              <w:br/>
            </w:r>
            <w:r>
              <w:rPr>
                <w:sz w:val="16"/>
              </w:rPr>
              <w:t>- Như Điều 3;</w:t>
              <w:br/>
              <w:t>- Bộ Y tế;</w:t>
              <w:br/>
              <w:t>- Bộ Tư pháp (Cục Kiểm soát TTHC);</w:t>
              <w:br/>
              <w:t>- Chủ tịch và các PCT UBND tỉnh;</w:t>
              <w:br/>
              <w:t>- Văn phòng UBND tỉnh: V1, V4, CB;</w:t>
              <w:br/>
              <w:t>- VNPT Lai Châu (p/h);</w:t>
              <w:br/>
              <w:t>- Lưu: VT, Hcc3.</w:t>
            </w:r>
          </w:p>
        </w:tc>
        <w:tc>
          <w:tcPr>
            <w:tcW w:w="4652" w:type="dxa"/>
            <w:tcBorders/>
          </w:tcPr>
          <w:p>
            <w:pPr>
              <w:pStyle w:val="Normal"/>
              <w:bidi w:val="0"/>
              <w:spacing w:before="0" w:after="0"/>
              <w:jc w:val="center"/>
              <w:rPr/>
            </w:pPr>
            <w:r>
              <w:rPr>
                <w:b/>
                <w:bCs/>
                <w:sz w:val="20"/>
              </w:rPr>
              <w:t>KT. CHỦ TỊCH</w:t>
              <w:br/>
              <w:t>PHÓ CHỦ TỊCH</w:t>
            </w:r>
            <w:r>
              <w:rPr>
                <w:sz w:val="20"/>
              </w:rPr>
              <w:br/>
              <w:br/>
              <w:br/>
              <w:br/>
              <w:br/>
            </w:r>
            <w:r>
              <w:rPr>
                <w:b/>
                <w:bCs/>
                <w:sz w:val="20"/>
              </w:rPr>
              <w:t>Tống Thanh Hải</w:t>
            </w:r>
          </w:p>
        </w:tc>
      </w:tr>
    </w:tbl>
    <w:p>
      <w:pPr>
        <w:pStyle w:val="Normal"/>
        <w:bidi w:val="0"/>
        <w:spacing w:before="0" w:after="120"/>
        <w:rPr>
          <w:sz w:val="20"/>
        </w:rPr>
      </w:pPr>
      <w:r>
        <w:rPr>
          <w:sz w:val="20"/>
        </w:rPr>
        <w:t> </w:t>
      </w:r>
    </w:p>
    <w:p>
      <w:pPr>
        <w:pStyle w:val="Normal"/>
        <w:bidi w:val="0"/>
        <w:spacing w:before="0" w:after="120"/>
        <w:jc w:val="center"/>
        <w:rPr>
          <w:b/>
          <w:bCs/>
          <w:sz w:val="24"/>
        </w:rPr>
      </w:pPr>
      <w:r>
        <w:rPr>
          <w:b/>
          <w:bCs/>
          <w:sz w:val="24"/>
        </w:rPr>
        <w:t>PHỤ LỤC</w:t>
      </w:r>
    </w:p>
    <w:p>
      <w:pPr>
        <w:pStyle w:val="Normal"/>
        <w:bidi w:val="0"/>
        <w:spacing w:before="0" w:after="120"/>
        <w:jc w:val="center"/>
        <w:rPr/>
      </w:pPr>
      <w:r>
        <w:rPr>
          <w:sz w:val="20"/>
        </w:rPr>
        <w:t>DANH MỤC THỦ TỤC HÀNH CHÍNH BỊ BÃI BỎ LĨNH VỰC PHÒNG BỆNH THUỘC PHẠM VI CHỨC NĂNG QUẢN LÝ CỦA SỞ Y TẾ</w:t>
        <w:br/>
      </w:r>
      <w:r>
        <w:rPr>
          <w:i/>
          <w:iCs/>
          <w:sz w:val="20"/>
        </w:rPr>
        <w:t>(Kèm theo Quyết định số:        /QĐ-UBND ngày       tháng 3 năm 2026 của Chủ tịch Ủy ban nhân dân tỉnh Lai Châu)</w:t>
      </w:r>
    </w:p>
    <w:tbl>
      <w:tblPr>
        <w:tblW w:w="5000" w:type="pct"/>
        <w:jc w:val="start"/>
        <w:tblInd w:w="0" w:type="dxa"/>
        <w:tblLayout w:type="fixed"/>
        <w:tblCellMar>
          <w:top w:w="28" w:type="dxa"/>
          <w:start w:w="108" w:type="dxa"/>
          <w:bottom w:w="28" w:type="dxa"/>
          <w:end w:w="108" w:type="dxa"/>
        </w:tblCellMar>
      </w:tblPr>
      <w:tblGrid>
        <w:gridCol w:w="800"/>
        <w:gridCol w:w="2242"/>
        <w:gridCol w:w="1380"/>
        <w:gridCol w:w="4684"/>
        <w:gridCol w:w="866"/>
      </w:tblGrid>
      <w:tr>
        <w:trPr/>
        <w:tc>
          <w:tcPr>
            <w:tcW w:w="80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b/>
                <w:bCs/>
                <w:sz w:val="20"/>
              </w:rPr>
            </w:pPr>
            <w:r>
              <w:rPr>
                <w:b/>
                <w:bCs/>
                <w:sz w:val="20"/>
              </w:rPr>
              <w:t>TT</w:t>
            </w:r>
          </w:p>
        </w:tc>
        <w:tc>
          <w:tcPr>
            <w:tcW w:w="2242" w:type="dxa"/>
            <w:tcBorders>
              <w:top w:val="single" w:sz="8" w:space="0" w:color="000000"/>
              <w:bottom w:val="single" w:sz="8" w:space="0" w:color="000000"/>
              <w:end w:val="single" w:sz="8" w:space="0" w:color="000000"/>
            </w:tcBorders>
          </w:tcPr>
          <w:p>
            <w:pPr>
              <w:pStyle w:val="Normal"/>
              <w:bidi w:val="0"/>
              <w:spacing w:before="0" w:after="0"/>
              <w:jc w:val="center"/>
              <w:rPr>
                <w:b/>
                <w:bCs/>
                <w:sz w:val="20"/>
              </w:rPr>
            </w:pPr>
            <w:r>
              <w:rPr>
                <w:b/>
                <w:bCs/>
                <w:sz w:val="20"/>
              </w:rPr>
              <w:t>Mã số hồ sơ TTHC</w:t>
            </w:r>
          </w:p>
        </w:tc>
        <w:tc>
          <w:tcPr>
            <w:tcW w:w="1380" w:type="dxa"/>
            <w:tcBorders>
              <w:top w:val="single" w:sz="8" w:space="0" w:color="000000"/>
              <w:bottom w:val="single" w:sz="8" w:space="0" w:color="000000"/>
              <w:end w:val="single" w:sz="8" w:space="0" w:color="000000"/>
            </w:tcBorders>
          </w:tcPr>
          <w:p>
            <w:pPr>
              <w:pStyle w:val="Normal"/>
              <w:bidi w:val="0"/>
              <w:spacing w:before="0" w:after="0"/>
              <w:jc w:val="center"/>
              <w:rPr>
                <w:b/>
                <w:bCs/>
                <w:sz w:val="20"/>
              </w:rPr>
            </w:pPr>
            <w:r>
              <w:rPr>
                <w:b/>
                <w:bCs/>
                <w:sz w:val="20"/>
              </w:rPr>
              <w:t>Tên thủ tục hành chính</w:t>
            </w:r>
          </w:p>
        </w:tc>
        <w:tc>
          <w:tcPr>
            <w:tcW w:w="4684" w:type="dxa"/>
            <w:tcBorders>
              <w:top w:val="single" w:sz="8" w:space="0" w:color="000000"/>
              <w:bottom w:val="single" w:sz="8" w:space="0" w:color="000000"/>
              <w:end w:val="single" w:sz="8" w:space="0" w:color="000000"/>
            </w:tcBorders>
          </w:tcPr>
          <w:p>
            <w:pPr>
              <w:pStyle w:val="Normal"/>
              <w:bidi w:val="0"/>
              <w:spacing w:before="0" w:after="0"/>
              <w:jc w:val="center"/>
              <w:rPr>
                <w:b/>
                <w:bCs/>
                <w:sz w:val="20"/>
              </w:rPr>
            </w:pPr>
            <w:r>
              <w:rPr>
                <w:b/>
                <w:bCs/>
                <w:sz w:val="20"/>
              </w:rPr>
              <w:t>Tên VBQPPL quy định việc bãi bỏ TTHC</w:t>
            </w:r>
          </w:p>
        </w:tc>
        <w:tc>
          <w:tcPr>
            <w:tcW w:w="866" w:type="dxa"/>
            <w:tcBorders>
              <w:top w:val="single" w:sz="8" w:space="0" w:color="000000"/>
              <w:bottom w:val="single" w:sz="8" w:space="0" w:color="000000"/>
              <w:end w:val="single" w:sz="8" w:space="0" w:color="000000"/>
            </w:tcBorders>
          </w:tcPr>
          <w:p>
            <w:pPr>
              <w:pStyle w:val="Normal"/>
              <w:bidi w:val="0"/>
              <w:spacing w:before="0" w:after="0"/>
              <w:jc w:val="center"/>
              <w:rPr>
                <w:b/>
                <w:bCs/>
                <w:sz w:val="20"/>
              </w:rPr>
            </w:pPr>
            <w:r>
              <w:rPr>
                <w:b/>
                <w:bCs/>
                <w:sz w:val="20"/>
              </w:rPr>
              <w:t>Lĩnh vực</w:t>
            </w:r>
          </w:p>
        </w:tc>
      </w:tr>
      <w:tr>
        <w:trPr/>
        <w:tc>
          <w:tcPr>
            <w:tcW w:w="80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1</w:t>
            </w:r>
          </w:p>
        </w:tc>
        <w:tc>
          <w:tcPr>
            <w:tcW w:w="2242" w:type="dxa"/>
            <w:tcBorders>
              <w:bottom w:val="single" w:sz="8" w:space="0" w:color="000000"/>
              <w:end w:val="single" w:sz="8" w:space="0" w:color="000000"/>
            </w:tcBorders>
          </w:tcPr>
          <w:p>
            <w:pPr>
              <w:pStyle w:val="Normal"/>
              <w:bidi w:val="0"/>
              <w:spacing w:before="0" w:after="0"/>
              <w:jc w:val="center"/>
              <w:rPr>
                <w:sz w:val="20"/>
              </w:rPr>
            </w:pPr>
            <w:r>
              <w:rPr>
                <w:sz w:val="20"/>
              </w:rPr>
              <w:t>1.002564.H35</w:t>
            </w:r>
          </w:p>
        </w:tc>
        <w:tc>
          <w:tcPr>
            <w:tcW w:w="1380" w:type="dxa"/>
            <w:tcBorders>
              <w:bottom w:val="single" w:sz="8" w:space="0" w:color="000000"/>
              <w:end w:val="single" w:sz="8" w:space="0" w:color="000000"/>
            </w:tcBorders>
          </w:tcPr>
          <w:p>
            <w:pPr>
              <w:pStyle w:val="Normal"/>
              <w:bidi w:val="0"/>
              <w:spacing w:before="0" w:after="0"/>
              <w:rPr>
                <w:sz w:val="20"/>
              </w:rPr>
            </w:pPr>
            <w:r>
              <w:rPr>
                <w:sz w:val="20"/>
              </w:rPr>
              <w:t>Cấp giấy xác nhận nội dung quảng cáo hóa chất, chế phẩm diệt côn trùng, diệt khuẩn dùng trong lĩnh vực gia dụng và y tế</w:t>
            </w:r>
          </w:p>
        </w:tc>
        <w:tc>
          <w:tcPr>
            <w:tcW w:w="4684" w:type="dxa"/>
            <w:tcBorders>
              <w:bottom w:val="single" w:sz="8" w:space="0" w:color="000000"/>
              <w:end w:val="single" w:sz="8" w:space="0" w:color="000000"/>
            </w:tcBorders>
          </w:tcPr>
          <w:p>
            <w:pPr>
              <w:pStyle w:val="Normal"/>
              <w:bidi w:val="0"/>
              <w:spacing w:before="0" w:after="0"/>
              <w:rPr>
                <w:sz w:val="20"/>
              </w:rPr>
            </w:pPr>
            <w:r>
              <w:rPr>
                <w:sz w:val="20"/>
              </w:rPr>
              <w:t>Thông tư số 03/2026/TT-BYT ngày 12 tháng 02 năm 2026 của Bộ trưởng Bộ Y tế bãi bỏ một số văn bản quy phạm pháp luật do Bộ trưởng Bộ Y tế ban hành</w:t>
            </w:r>
          </w:p>
        </w:tc>
        <w:tc>
          <w:tcPr>
            <w:tcW w:w="866" w:type="dxa"/>
            <w:tcBorders>
              <w:bottom w:val="single" w:sz="8" w:space="0" w:color="000000"/>
              <w:end w:val="single" w:sz="8" w:space="0" w:color="000000"/>
            </w:tcBorders>
          </w:tcPr>
          <w:p>
            <w:pPr>
              <w:pStyle w:val="Normal"/>
              <w:bidi w:val="0"/>
              <w:spacing w:before="0" w:after="0"/>
              <w:jc w:val="center"/>
              <w:rPr>
                <w:sz w:val="20"/>
              </w:rPr>
            </w:pPr>
            <w:r>
              <w:rPr>
                <w:sz w:val="20"/>
              </w:rPr>
              <w:t>Phòng bệnh</w:t>
            </w:r>
          </w:p>
        </w:tc>
      </w:tr>
      <w:tr>
        <w:trPr/>
        <w:tc>
          <w:tcPr>
            <w:tcW w:w="80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2</w:t>
            </w:r>
          </w:p>
        </w:tc>
        <w:tc>
          <w:tcPr>
            <w:tcW w:w="2242" w:type="dxa"/>
            <w:tcBorders>
              <w:bottom w:val="single" w:sz="8" w:space="0" w:color="000000"/>
              <w:end w:val="single" w:sz="8" w:space="0" w:color="000000"/>
            </w:tcBorders>
          </w:tcPr>
          <w:p>
            <w:pPr>
              <w:pStyle w:val="Normal"/>
              <w:bidi w:val="0"/>
              <w:spacing w:before="0" w:after="0"/>
              <w:jc w:val="center"/>
              <w:rPr>
                <w:sz w:val="20"/>
              </w:rPr>
            </w:pPr>
            <w:r>
              <w:rPr>
                <w:sz w:val="20"/>
              </w:rPr>
              <w:t>1.001189.H35</w:t>
            </w:r>
          </w:p>
        </w:tc>
        <w:tc>
          <w:tcPr>
            <w:tcW w:w="1380" w:type="dxa"/>
            <w:tcBorders>
              <w:bottom w:val="single" w:sz="8" w:space="0" w:color="000000"/>
              <w:end w:val="single" w:sz="8" w:space="0" w:color="000000"/>
            </w:tcBorders>
          </w:tcPr>
          <w:p>
            <w:pPr>
              <w:pStyle w:val="Normal"/>
              <w:bidi w:val="0"/>
              <w:spacing w:before="0" w:after="0"/>
              <w:rPr>
                <w:sz w:val="20"/>
              </w:rPr>
            </w:pPr>
            <w:r>
              <w:rPr>
                <w:sz w:val="20"/>
              </w:rPr>
              <w:t>Cấp lại giấy xác nhận nội dung quảng cáo hóa chất, chế phẩm diệt côn trùng, diệt  khuẩn  dùng  trong  lĩnh  vực  gia dụng và y tế trong trường hợp bị mất hoặc hư hỏng</w:t>
            </w:r>
          </w:p>
        </w:tc>
        <w:tc>
          <w:tcPr>
            <w:tcW w:w="4684" w:type="dxa"/>
            <w:tcBorders>
              <w:bottom w:val="single" w:sz="8" w:space="0" w:color="000000"/>
              <w:end w:val="single" w:sz="8" w:space="0" w:color="000000"/>
            </w:tcBorders>
          </w:tcPr>
          <w:p>
            <w:pPr>
              <w:pStyle w:val="Normal"/>
              <w:bidi w:val="0"/>
              <w:spacing w:before="0" w:after="0"/>
              <w:rPr>
                <w:sz w:val="20"/>
              </w:rPr>
            </w:pPr>
            <w:r>
              <w:rPr>
                <w:sz w:val="20"/>
              </w:rPr>
              <w:t>Thông tư số 03/2026/TT-BYT ngày 12 tháng 02 năm 2026 của Bộ trưởng Bộ Y tế bãi bỏ một số văn bản quy phạm pháp luật do Bộ trưởng Bộ Y tế ban hành</w:t>
            </w:r>
          </w:p>
        </w:tc>
        <w:tc>
          <w:tcPr>
            <w:tcW w:w="866" w:type="dxa"/>
            <w:tcBorders>
              <w:bottom w:val="single" w:sz="8" w:space="0" w:color="000000"/>
              <w:end w:val="single" w:sz="8" w:space="0" w:color="000000"/>
            </w:tcBorders>
          </w:tcPr>
          <w:p>
            <w:pPr>
              <w:pStyle w:val="Normal"/>
              <w:bidi w:val="0"/>
              <w:spacing w:before="0" w:after="0"/>
              <w:jc w:val="center"/>
              <w:rPr>
                <w:sz w:val="20"/>
              </w:rPr>
            </w:pPr>
            <w:r>
              <w:rPr>
                <w:sz w:val="20"/>
              </w:rPr>
              <w:t>Phòng bệnh</w:t>
            </w:r>
          </w:p>
        </w:tc>
      </w:tr>
      <w:tr>
        <w:trPr/>
        <w:tc>
          <w:tcPr>
            <w:tcW w:w="80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3</w:t>
            </w:r>
          </w:p>
        </w:tc>
        <w:tc>
          <w:tcPr>
            <w:tcW w:w="2242" w:type="dxa"/>
            <w:tcBorders>
              <w:bottom w:val="single" w:sz="8" w:space="0" w:color="000000"/>
              <w:end w:val="single" w:sz="8" w:space="0" w:color="000000"/>
            </w:tcBorders>
          </w:tcPr>
          <w:p>
            <w:pPr>
              <w:pStyle w:val="Normal"/>
              <w:bidi w:val="0"/>
              <w:spacing w:before="0" w:after="0"/>
              <w:jc w:val="center"/>
              <w:rPr>
                <w:sz w:val="20"/>
              </w:rPr>
            </w:pPr>
            <w:r>
              <w:rPr>
                <w:sz w:val="20"/>
              </w:rPr>
              <w:t>1.001178.H35</w:t>
            </w:r>
          </w:p>
        </w:tc>
        <w:tc>
          <w:tcPr>
            <w:tcW w:w="1380" w:type="dxa"/>
            <w:tcBorders>
              <w:bottom w:val="single" w:sz="8" w:space="0" w:color="000000"/>
              <w:end w:val="single" w:sz="8" w:space="0" w:color="000000"/>
            </w:tcBorders>
          </w:tcPr>
          <w:p>
            <w:pPr>
              <w:pStyle w:val="Normal"/>
              <w:bidi w:val="0"/>
              <w:spacing w:before="0" w:after="0"/>
              <w:rPr>
                <w:sz w:val="20"/>
              </w:rPr>
            </w:pPr>
            <w:r>
              <w:rPr>
                <w:sz w:val="20"/>
              </w:rPr>
              <w:t>Cấp lại giấy xác nhận nội dung quảng cáo hóa chất, chế phẩm diệt côn trùng, diệt  khuẩn  dùng  trong  lĩnh  vực  gia dụng và y tế trong trường hợp hết hiệu lực tại Khoản 2 Điều 21 Thông tư số 09/2015/TT-BYT</w:t>
            </w:r>
          </w:p>
        </w:tc>
        <w:tc>
          <w:tcPr>
            <w:tcW w:w="4684" w:type="dxa"/>
            <w:tcBorders>
              <w:bottom w:val="single" w:sz="8" w:space="0" w:color="000000"/>
              <w:end w:val="single" w:sz="8" w:space="0" w:color="000000"/>
            </w:tcBorders>
          </w:tcPr>
          <w:p>
            <w:pPr>
              <w:pStyle w:val="Normal"/>
              <w:bidi w:val="0"/>
              <w:spacing w:before="0" w:after="0"/>
              <w:rPr>
                <w:sz w:val="20"/>
              </w:rPr>
            </w:pPr>
            <w:r>
              <w:rPr>
                <w:sz w:val="20"/>
              </w:rPr>
              <w:t>Thông tư số 03/2026/TT-BYT ngày 12 tháng 02 năm 2026 của Bộ trưởng Bộ Y tế bãi bỏ một số văn bản quy phạm pháp luật do Bộ trưởng Bộ Y tế ban hành</w:t>
            </w:r>
          </w:p>
        </w:tc>
        <w:tc>
          <w:tcPr>
            <w:tcW w:w="866" w:type="dxa"/>
            <w:tcBorders>
              <w:bottom w:val="single" w:sz="8" w:space="0" w:color="000000"/>
              <w:end w:val="single" w:sz="8" w:space="0" w:color="000000"/>
            </w:tcBorders>
          </w:tcPr>
          <w:p>
            <w:pPr>
              <w:pStyle w:val="Normal"/>
              <w:bidi w:val="0"/>
              <w:spacing w:before="0" w:after="0"/>
              <w:jc w:val="center"/>
              <w:rPr>
                <w:sz w:val="20"/>
              </w:rPr>
            </w:pPr>
            <w:r>
              <w:rPr>
                <w:sz w:val="20"/>
              </w:rPr>
              <w:t>Phòng bệnh</w:t>
            </w:r>
          </w:p>
        </w:tc>
      </w:tr>
      <w:tr>
        <w:trPr/>
        <w:tc>
          <w:tcPr>
            <w:tcW w:w="80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4</w:t>
            </w:r>
          </w:p>
        </w:tc>
        <w:tc>
          <w:tcPr>
            <w:tcW w:w="2242" w:type="dxa"/>
            <w:tcBorders>
              <w:bottom w:val="single" w:sz="8" w:space="0" w:color="000000"/>
              <w:end w:val="single" w:sz="8" w:space="0" w:color="000000"/>
            </w:tcBorders>
          </w:tcPr>
          <w:p>
            <w:pPr>
              <w:pStyle w:val="Normal"/>
              <w:bidi w:val="0"/>
              <w:spacing w:before="0" w:after="0"/>
              <w:jc w:val="center"/>
              <w:rPr>
                <w:sz w:val="20"/>
              </w:rPr>
            </w:pPr>
            <w:r>
              <w:rPr>
                <w:sz w:val="20"/>
              </w:rPr>
              <w:t>1.001114.H35</w:t>
            </w:r>
          </w:p>
        </w:tc>
        <w:tc>
          <w:tcPr>
            <w:tcW w:w="1380" w:type="dxa"/>
            <w:tcBorders>
              <w:bottom w:val="single" w:sz="8" w:space="0" w:color="000000"/>
              <w:end w:val="single" w:sz="8" w:space="0" w:color="000000"/>
            </w:tcBorders>
          </w:tcPr>
          <w:p>
            <w:pPr>
              <w:pStyle w:val="Normal"/>
              <w:bidi w:val="0"/>
              <w:spacing w:before="0" w:after="0"/>
              <w:rPr>
                <w:sz w:val="20"/>
              </w:rPr>
            </w:pPr>
            <w:r>
              <w:rPr>
                <w:sz w:val="20"/>
              </w:rPr>
              <w:t>Cấp lại giấy xác nhận nội dung quảng cáo khi có thay đổi về tên, địa chỉ của tổ chức, cá nhân chịu trách nhiệm và không thay đổi nội dung quảng cáo</w:t>
            </w:r>
          </w:p>
        </w:tc>
        <w:tc>
          <w:tcPr>
            <w:tcW w:w="4684" w:type="dxa"/>
            <w:tcBorders>
              <w:bottom w:val="single" w:sz="8" w:space="0" w:color="000000"/>
              <w:end w:val="single" w:sz="8" w:space="0" w:color="000000"/>
            </w:tcBorders>
          </w:tcPr>
          <w:p>
            <w:pPr>
              <w:pStyle w:val="Normal"/>
              <w:bidi w:val="0"/>
              <w:spacing w:before="0" w:after="0"/>
              <w:rPr>
                <w:sz w:val="20"/>
              </w:rPr>
            </w:pPr>
            <w:r>
              <w:rPr>
                <w:sz w:val="20"/>
              </w:rPr>
              <w:t>Thông tư số 03/2026/TT-BYT ngày 12 tháng 02 năm 2026 của Bộ trưởng Bộ Y tế bãi bỏ một số văn bản quy phạm pháp luật do Bộ trưởng Bộ Y tế ban hành</w:t>
            </w:r>
          </w:p>
        </w:tc>
        <w:tc>
          <w:tcPr>
            <w:tcW w:w="866" w:type="dxa"/>
            <w:tcBorders>
              <w:bottom w:val="single" w:sz="8" w:space="0" w:color="000000"/>
              <w:end w:val="single" w:sz="8" w:space="0" w:color="000000"/>
            </w:tcBorders>
          </w:tcPr>
          <w:p>
            <w:pPr>
              <w:pStyle w:val="Normal"/>
              <w:bidi w:val="0"/>
              <w:spacing w:before="0" w:after="0"/>
              <w:jc w:val="center"/>
              <w:rPr>
                <w:sz w:val="20"/>
              </w:rPr>
            </w:pPr>
            <w:r>
              <w:rPr>
                <w:sz w:val="20"/>
              </w:rPr>
              <w:t>Phòng bệnh</w:t>
            </w:r>
          </w:p>
        </w:tc>
      </w:tr>
    </w:tbl>
    <w:p>
      <w:pPr>
        <w:pStyle w:val="Normal"/>
        <w:bidi w:val="0"/>
        <w:spacing w:before="0" w:after="120"/>
        <w:rPr>
          <w:sz w:val="20"/>
        </w:rPr>
      </w:pPr>
      <w:r>
        <w:rPr>
          <w:sz w:val="20"/>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