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BỘ CÔNG THƯƠNG</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403/QĐ-BCT</w:t>
            </w:r>
          </w:p>
        </w:tc>
        <w:tc>
          <w:tcPr>
            <w:tcW w:w="6607" w:type="dxa"/>
            <w:tcBorders/>
          </w:tcPr>
          <w:p>
            <w:pPr>
              <w:pStyle w:val="Normal"/>
              <w:bidi w:val="0"/>
              <w:spacing w:before="0" w:after="0"/>
              <w:jc w:val="end"/>
              <w:rPr/>
            </w:pPr>
            <w:r>
              <w:rPr>
                <w:i/>
                <w:iCs/>
              </w:rPr>
              <w:t>Hà Nội, ngày 09 tháng 03 năm 2026</w:t>
            </w:r>
          </w:p>
        </w:tc>
      </w:tr>
    </w:tbl>
    <w:p>
      <w:pPr>
        <w:pStyle w:val="Normal"/>
        <w:bidi w:val="0"/>
        <w:spacing w:before="0" w:after="120"/>
        <w:jc w:val="center"/>
        <w:rPr>
          <w:b/>
          <w:bCs/>
        </w:rPr>
      </w:pPr>
      <w:r>
        <w:rPr>
          <w:b/>
          <w:bCs/>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VỀ VIỆC CÔNG BỐ THỦ TỤC HÀNH CHÍNH SỬA ĐỔI, BỔ SUNG BAN HÀNH TRONG LĨNH VỰC XUẤT NHẬP KHẨU THUỘC PHẠM VI CHỨC NĂNG QUẢN LÝ CỦA BỘ CÔNG THƯƠNG</w:t>
      </w:r>
      <w:bookmarkEnd w:id="1"/>
    </w:p>
    <w:p>
      <w:pPr>
        <w:pStyle w:val="Normal"/>
        <w:bidi w:val="0"/>
        <w:spacing w:before="0" w:after="120"/>
        <w:jc w:val="center"/>
        <w:rPr/>
      </w:pPr>
      <w:r>
        <w:rPr>
          <w:b/>
          <w:bCs/>
          <w:sz w:val="24"/>
        </w:rPr>
        <w:t>BỘ TRƯỞNG BỘ CÔNG THƯƠNG</w:t>
      </w:r>
    </w:p>
    <w:p>
      <w:pPr>
        <w:pStyle w:val="Normal"/>
        <w:bidi w:val="0"/>
        <w:spacing w:before="0" w:after="120"/>
        <w:rPr/>
      </w:pPr>
      <w:r>
        <w:rPr>
          <w:i/>
          <w:iCs/>
        </w:rPr>
        <w:t>Căn cứ Luật Quản lý ngoại thương số 05/2017/QH14;</w:t>
      </w:r>
    </w:p>
    <w:p>
      <w:pPr>
        <w:pStyle w:val="Normal"/>
        <w:bidi w:val="0"/>
        <w:spacing w:before="0" w:after="120"/>
        <w:rPr/>
      </w:pPr>
      <w:r>
        <w:rPr>
          <w:i/>
          <w:iCs/>
        </w:rPr>
        <w:t>Căn cứ Nghị định số 40/2025/NĐ-CP ngày 26 tháng 02 năm 2025 của Chính phủ quy định chức năng, nhiệm vụ, quyền hạn và cơ cấu tổ chức của Bộ Công Thương, được sửa đổi bởi Nghị định số 109/2025/NĐ-CP ngày 20 tháng 5 năm 2025 quy định chức năng, nhiệm vụ, quyền hạn và cơ cấu tổ chức của thanh tra Chính phủ;</w:t>
      </w:r>
    </w:p>
    <w:p>
      <w:pPr>
        <w:pStyle w:val="Normal"/>
        <w:bidi w:val="0"/>
        <w:spacing w:before="0" w:after="120"/>
        <w:rPr/>
      </w:pPr>
      <w:r>
        <w:rPr>
          <w:i/>
          <w:iCs/>
        </w:rPr>
        <w:t>Căn cứ Nghị định số 63/2010/NĐ-CP ngày 08 tháng 6 năm 2010 của Chính phủ về kiểm soát thủ tục hành chính;</w:t>
      </w:r>
    </w:p>
    <w:p>
      <w:pPr>
        <w:pStyle w:val="Normal"/>
        <w:bidi w:val="0"/>
        <w:spacing w:before="0" w:after="120"/>
        <w:rPr/>
      </w:pPr>
      <w:r>
        <w:rPr>
          <w:i/>
          <w:iCs/>
        </w:rPr>
        <w:t>Căn cứ Nghị định số 48/2013/NĐ-CP ngày 14 tháng 5 năm 2013 của Chính phủ sửa đổi, bổ sung một số điều của các Nghị định liên quan đến kiểm soát thủ tục hành chính;</w:t>
      </w:r>
    </w:p>
    <w:p>
      <w:pPr>
        <w:pStyle w:val="Normal"/>
        <w:bidi w:val="0"/>
        <w:spacing w:before="0" w:after="120"/>
        <w:rPr/>
      </w:pPr>
      <w:r>
        <w:rPr>
          <w:i/>
          <w:iCs/>
        </w:rPr>
        <w:t>Căn cứ Nghị định số 92/2017/NĐ-CP ngày 07 tháng 8 năm 2017 của Chính phủ quy định sửa đổi, bổ sung, một số điều của các Nghị định liên quan đến kiểm soát thủ tục hành chính;</w:t>
      </w:r>
    </w:p>
    <w:p>
      <w:pPr>
        <w:pStyle w:val="Normal"/>
        <w:bidi w:val="0"/>
        <w:spacing w:before="0" w:after="120"/>
        <w:rPr/>
      </w:pPr>
      <w:r>
        <w:rPr>
          <w:i/>
          <w:iCs/>
        </w:rPr>
        <w:t>Căn cứ Nghị định số 69/2018/NĐ-CP ngày 15 tháng 5 năm 2018 của Chính phủ quy định chi tiết một số điều của Luật Quản lý ngoại thương;</w:t>
      </w:r>
    </w:p>
    <w:p>
      <w:pPr>
        <w:pStyle w:val="Normal"/>
        <w:bidi w:val="0"/>
        <w:spacing w:before="0" w:after="120"/>
        <w:rPr/>
      </w:pPr>
      <w:r>
        <w:rPr>
          <w:i/>
          <w:iCs/>
        </w:rPr>
        <w:t>Căn cứ Nghị định số 67/2013/NĐ-CP ngày 27 tháng 6 năm 2013 của Chính phủ quy định chi tiết một số điều và biện pháp thi hành Luật Phòng, chống tác hại của thuốc lá về kinh doanh thuốc lá;</w:t>
      </w:r>
    </w:p>
    <w:p>
      <w:pPr>
        <w:pStyle w:val="Normal"/>
        <w:bidi w:val="0"/>
        <w:spacing w:before="0" w:after="120"/>
        <w:rPr/>
      </w:pPr>
      <w:r>
        <w:rPr>
          <w:i/>
          <w:iCs/>
        </w:rPr>
        <w:t>Căn cứ Nghị định số 94/2017/NĐ-CP ngày 10 tháng 8 năm 2017 của Chính phủ về hàng hóa, dịch vụ, địa bàn thực hiện độc quyền nhà nước trong hoạt động thương mại;</w:t>
      </w:r>
    </w:p>
    <w:p>
      <w:pPr>
        <w:pStyle w:val="Normal"/>
        <w:bidi w:val="0"/>
        <w:spacing w:before="0" w:after="120"/>
        <w:rPr/>
      </w:pPr>
      <w:r>
        <w:rPr>
          <w:i/>
          <w:iCs/>
        </w:rPr>
        <w:t>Căn cứ Thông tư số 38/2025/TT-BCT ngày 19 tháng 6 năm 2025 của Bộ trưởng Bộ Công Thương sửa đổi, bổ sung một số quy định về phân cấp thực hiện thủ tục hành chính trong các lĩnh vực thuộc phạm vi quản lý của Bộ Công Thương;</w:t>
      </w:r>
    </w:p>
    <w:p>
      <w:pPr>
        <w:pStyle w:val="Normal"/>
        <w:bidi w:val="0"/>
        <w:spacing w:before="0" w:after="120"/>
        <w:rPr/>
      </w:pPr>
      <w:r>
        <w:rPr>
          <w:i/>
          <w:iCs/>
        </w:rPr>
        <w:t>Căn cứ Thông tư số 07/2026/TT-BCT ngày 24 tháng 02 năm 2026 của Bộ trưởng Bộ Công Thương sửa đổi, bổ sung một số điều của Thông tư số 37/2013/TT-BCT ngày 30 tháng 12 năm 2013 của Bộ trưởng Bộ Công Thương quy định nhập khẩu thuốc lá điếu, xì gà;</w:t>
      </w:r>
    </w:p>
    <w:p>
      <w:pPr>
        <w:pStyle w:val="Normal"/>
        <w:bidi w:val="0"/>
        <w:spacing w:before="0" w:after="120"/>
        <w:rPr/>
      </w:pPr>
      <w:r>
        <w:rPr>
          <w:i/>
          <w:iCs/>
        </w:rPr>
        <w:t>Theo đề nghị của Cục trưởng Cục Xuất nhập khẩu.</w:t>
      </w:r>
    </w:p>
    <w:p>
      <w:pPr>
        <w:pStyle w:val="Normal"/>
        <w:bidi w:val="0"/>
        <w:spacing w:before="0" w:after="120"/>
        <w:jc w:val="center"/>
        <w:rPr/>
      </w:pPr>
      <w:r>
        <w:rPr>
          <w:b/>
          <w:bCs/>
          <w:sz w:val="24"/>
        </w:rPr>
        <w:t>QUYẾT ĐỊNH:</w:t>
      </w:r>
    </w:p>
    <w:p>
      <w:pPr>
        <w:pStyle w:val="Normal"/>
        <w:bidi w:val="0"/>
        <w:spacing w:before="0" w:after="120"/>
        <w:rPr/>
      </w:pPr>
      <w:bookmarkStart w:id="2" w:name="dieu_1"/>
      <w:r>
        <w:rPr>
          <w:b/>
          <w:bCs/>
        </w:rPr>
        <w:t>Điều 1.</w:t>
      </w:r>
      <w:bookmarkEnd w:id="2"/>
      <w:r>
        <w:rPr/>
        <w:t xml:space="preserve"> </w:t>
      </w:r>
      <w:bookmarkStart w:id="3" w:name="dieu_1_name"/>
      <w:r>
        <w:rPr/>
        <w:t>Công bố kèm theo Quyết định này thủ tục hành chính sửa đổi, bổ sung ban hành trong lĩnh vực xuất nhập khẩu thuộc phạm vi chức năng quản lý của Bộ Công Thương.</w:t>
      </w:r>
      <w:bookmarkEnd w:id="3"/>
    </w:p>
    <w:p>
      <w:pPr>
        <w:pStyle w:val="Normal"/>
        <w:bidi w:val="0"/>
        <w:spacing w:before="0" w:after="120"/>
        <w:rPr/>
      </w:pPr>
      <w:bookmarkStart w:id="4" w:name="dieu_2"/>
      <w:r>
        <w:rPr>
          <w:b/>
          <w:bCs/>
        </w:rPr>
        <w:t>Điều 2.</w:t>
      </w:r>
      <w:bookmarkEnd w:id="4"/>
      <w:r>
        <w:rPr/>
        <w:t xml:space="preserve"> </w:t>
      </w:r>
      <w:bookmarkStart w:id="5" w:name="dieu_2_name"/>
      <w:r>
        <w:rPr/>
        <w:t>Quyết định này có hiệu lực thi hành kể từ ngày 10 tháng 4 năm 2026. Quyết định này sửa đổi, bổ sung các nội dung của thủ tục hành chính “Cấp phép nhập khẩu tự động thuốc lá điếu, xì gà” (Mã TTHC: 1.000363) được công bố tại Quyết định số 1781/QĐ-BCT ngày 23 tháng 6 năm 2025 của Bộ trưởng Bộ Công Thương về việc công bố thủ tục hành chính mới được ban hành, thủ tục hành chính được sửa đổi, bổ sung và thủ tục hành chính bị bãi bỏ trong các lĩnh vực quản lý nhà nước của Bộ Công Thương.</w:t>
      </w:r>
      <w:bookmarkEnd w:id="5"/>
    </w:p>
    <w:p>
      <w:pPr>
        <w:pStyle w:val="Normal"/>
        <w:bidi w:val="0"/>
        <w:spacing w:before="0" w:after="120"/>
        <w:rPr/>
      </w:pPr>
      <w:bookmarkStart w:id="6" w:name="dieu_3"/>
      <w:r>
        <w:rPr>
          <w:b/>
          <w:bCs/>
        </w:rPr>
        <w:t>Điều 3.</w:t>
      </w:r>
      <w:bookmarkEnd w:id="6"/>
      <w:r>
        <w:rPr/>
        <w:t xml:space="preserve"> </w:t>
      </w:r>
      <w:bookmarkStart w:id="7" w:name="dieu_3_name"/>
      <w:r>
        <w:rPr/>
        <w:t>Chánh Văn phòng Bộ, Cục trưởng Cục Xuất nhập khẩu, Vụ trưởng Vụ Pháp chế và Thủ trưởng các đơn vị có liên quan thuộc Bộ chịu trách nhiệm thi hành Quyết định này./.</w:t>
      </w:r>
      <w:bookmarkEnd w:id="7"/>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538"/>
        <w:gridCol w:w="4102"/>
      </w:tblGrid>
      <w:tr>
        <w:trPr/>
        <w:tc>
          <w:tcPr>
            <w:tcW w:w="4538" w:type="dxa"/>
            <w:tcBorders/>
          </w:tcPr>
          <w:p>
            <w:pPr>
              <w:pStyle w:val="Normal"/>
              <w:bidi w:val="0"/>
              <w:spacing w:before="0" w:after="120"/>
              <w:rPr/>
            </w:pPr>
            <w:r>
              <w:rPr>
                <w:b/>
                <w:bCs/>
                <w:i/>
                <w:iCs/>
                <w:sz w:val="16"/>
              </w:rPr>
              <w:t> </w:t>
            </w:r>
          </w:p>
          <w:p>
            <w:pPr>
              <w:pStyle w:val="Normal"/>
              <w:bidi w:val="0"/>
              <w:spacing w:before="0" w:after="0"/>
              <w:rPr/>
            </w:pPr>
            <w:r>
              <w:rPr>
                <w:b/>
                <w:bCs/>
                <w:i/>
                <w:iCs/>
              </w:rPr>
              <w:t>Nơi nhận:</w:t>
              <w:br/>
            </w:r>
            <w:r>
              <w:rPr>
                <w:sz w:val="16"/>
              </w:rPr>
              <w:t>- Như Điều 3;</w:t>
              <w:br/>
              <w:t xml:space="preserve">- Bộ Tư pháp (Cục KSTTHC); </w:t>
              <w:br/>
              <w:t>- Ủy ban nhân dân các tỉnh, thành phố;</w:t>
              <w:br/>
              <w:t>- SCT các tỉnh, thành phố;</w:t>
              <w:br/>
              <w:t>- Quyền Bộ trưởng (để b/c);</w:t>
              <w:br/>
              <w:t>- TTr. Nguyễn Sinh Nhật Tân;</w:t>
              <w:br/>
              <w:t>- VPB (THCC);</w:t>
              <w:br/>
              <w:t>- Lưu: VT, XNK.</w:t>
            </w:r>
          </w:p>
        </w:tc>
        <w:tc>
          <w:tcPr>
            <w:tcW w:w="4102" w:type="dxa"/>
            <w:tcBorders/>
          </w:tcPr>
          <w:p>
            <w:pPr>
              <w:pStyle w:val="Normal"/>
              <w:bidi w:val="0"/>
              <w:spacing w:before="0" w:after="0"/>
              <w:jc w:val="center"/>
              <w:rPr/>
            </w:pPr>
            <w:r>
              <w:rPr>
                <w:b/>
                <w:bCs/>
              </w:rPr>
              <w:t>KT. BỘ TRƯỞNG</w:t>
              <w:br/>
              <w:t>THỨ TRƯỞNG</w:t>
              <w:br/>
              <w:br/>
              <w:br/>
              <w:br/>
              <w:br/>
              <w:t>Phan Thị Thắng</w:t>
            </w:r>
          </w:p>
        </w:tc>
      </w:tr>
    </w:tbl>
    <w:p>
      <w:pPr>
        <w:pStyle w:val="Normal"/>
        <w:bidi w:val="0"/>
        <w:spacing w:before="0" w:after="120"/>
        <w:jc w:val="center"/>
        <w:rPr/>
      </w:pPr>
      <w:r>
        <w:rPr>
          <w:b/>
          <w:bCs/>
        </w:rPr>
        <w:t> </w:t>
      </w:r>
    </w:p>
    <w:p>
      <w:pPr>
        <w:pStyle w:val="Normal"/>
        <w:bidi w:val="0"/>
        <w:spacing w:before="0" w:after="120"/>
        <w:jc w:val="center"/>
        <w:rPr/>
      </w:pPr>
      <w:bookmarkStart w:id="8" w:name="chuong_pl"/>
      <w:r>
        <w:rPr>
          <w:b/>
          <w:bCs/>
        </w:rPr>
        <w:t>THỦ TỤC HÀNH CHÍNH SỬA ĐỔI, BỔ SUNG TRONG LĨNH VỰC XUẤT NHẬP KHẨU THUỘC PHẠM VI CHỨC NĂNG QUẢN LÝ CỦA BỘ CÔNG THƯƠNG</w:t>
      </w:r>
      <w:bookmarkEnd w:id="8"/>
    </w:p>
    <w:p>
      <w:pPr>
        <w:pStyle w:val="Normal"/>
        <w:bidi w:val="0"/>
        <w:spacing w:before="0" w:after="120"/>
        <w:jc w:val="center"/>
        <w:rPr/>
      </w:pPr>
      <w:r>
        <w:rPr>
          <w:i/>
          <w:iCs/>
        </w:rPr>
        <w:t>(kèm theo Quyết định số 403/QĐ-BCT ngày 09 tháng 3 năm 2026 của Bộ trưởng Bộ Công Thương)</w:t>
      </w:r>
    </w:p>
    <w:p>
      <w:pPr>
        <w:pStyle w:val="Normal"/>
        <w:bidi w:val="0"/>
        <w:spacing w:before="0" w:after="120"/>
        <w:jc w:val="center"/>
        <w:rPr/>
      </w:pPr>
      <w:bookmarkStart w:id="9" w:name="chuong_1"/>
      <w:r>
        <w:rPr>
          <w:b/>
          <w:bCs/>
        </w:rPr>
        <w:t>PHẦN I</w:t>
      </w:r>
      <w:bookmarkEnd w:id="9"/>
    </w:p>
    <w:p>
      <w:pPr>
        <w:pStyle w:val="Normal"/>
        <w:bidi w:val="0"/>
        <w:spacing w:before="0" w:after="120"/>
        <w:jc w:val="center"/>
        <w:rPr/>
      </w:pPr>
      <w:bookmarkStart w:id="10" w:name="chuong_1_name"/>
      <w:r>
        <w:rPr>
          <w:b/>
          <w:bCs/>
        </w:rPr>
        <w:t>DANH MỤC THỦ TỤC HÀNH CHÍNH SỬA ĐỔI, BỔ SUNG TRONG LĨNH VỰC XUẤT NHẬP KHẨU THUỘC PHẠM VI CHỨC NĂNG CỦA BỘ CÔNG THƯƠNG</w:t>
      </w:r>
      <w:bookmarkEnd w:id="10"/>
    </w:p>
    <w:p>
      <w:pPr>
        <w:pStyle w:val="Normal"/>
        <w:bidi w:val="0"/>
        <w:spacing w:before="0" w:after="120"/>
        <w:rPr>
          <w:b/>
          <w:bCs/>
        </w:rPr>
      </w:pPr>
      <w:r>
        <w:rPr>
          <w:b/>
          <w:bCs/>
        </w:rPr>
        <w:t>THỦ TỤC HÀNH CHÍNH CẤP TRUNG ƯƠNG VÀ ĐỊA PHƯƠNG</w:t>
      </w:r>
    </w:p>
    <w:tbl>
      <w:tblPr>
        <w:tblW w:w="5000" w:type="pct"/>
        <w:jc w:val="start"/>
        <w:tblInd w:w="0" w:type="dxa"/>
        <w:tblLayout w:type="fixed"/>
        <w:tblCellMar>
          <w:top w:w="28" w:type="dxa"/>
          <w:start w:w="108" w:type="dxa"/>
          <w:bottom w:w="28" w:type="dxa"/>
          <w:end w:w="108" w:type="dxa"/>
        </w:tblCellMar>
      </w:tblPr>
      <w:tblGrid>
        <w:gridCol w:w="819"/>
        <w:gridCol w:w="1409"/>
        <w:gridCol w:w="1616"/>
        <w:gridCol w:w="3205"/>
        <w:gridCol w:w="927"/>
        <w:gridCol w:w="1996"/>
      </w:tblGrid>
      <w:tr>
        <w:trPr/>
        <w:tc>
          <w:tcPr>
            <w:tcW w:w="81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0" w:after="0"/>
              <w:jc w:val="center"/>
              <w:rPr/>
            </w:pPr>
            <w:r>
              <w:rPr>
                <w:b/>
                <w:bCs/>
              </w:rPr>
              <w:t>STT</w:t>
            </w:r>
          </w:p>
        </w:tc>
        <w:tc>
          <w:tcPr>
            <w:tcW w:w="1409"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Mã số TTHC</w:t>
            </w:r>
          </w:p>
        </w:tc>
        <w:tc>
          <w:tcPr>
            <w:tcW w:w="1616"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Tên TTHC</w:t>
            </w:r>
          </w:p>
        </w:tc>
        <w:tc>
          <w:tcPr>
            <w:tcW w:w="3205"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Tên văn bản quy phạm pháp luật quy định nội dung sửa đổi, bổ sung TTHC</w:t>
            </w:r>
          </w:p>
        </w:tc>
        <w:tc>
          <w:tcPr>
            <w:tcW w:w="927"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Lĩnh vực</w:t>
            </w:r>
          </w:p>
        </w:tc>
        <w:tc>
          <w:tcPr>
            <w:tcW w:w="1996" w:type="dxa"/>
            <w:tcBorders>
              <w:top w:val="single" w:sz="8" w:space="0" w:color="000000"/>
              <w:bottom w:val="single" w:sz="8" w:space="0" w:color="000000"/>
              <w:end w:val="single" w:sz="8" w:space="0" w:color="000000"/>
            </w:tcBorders>
            <w:vAlign w:val="center"/>
          </w:tcPr>
          <w:p>
            <w:pPr>
              <w:pStyle w:val="Normal"/>
              <w:bidi w:val="0"/>
              <w:spacing w:before="0" w:after="0"/>
              <w:jc w:val="center"/>
              <w:rPr/>
            </w:pPr>
            <w:r>
              <w:rPr>
                <w:b/>
                <w:bCs/>
              </w:rPr>
              <w:t>Cơ quan thực hiện</w:t>
            </w:r>
          </w:p>
        </w:tc>
      </w:tr>
      <w:tr>
        <w:trPr/>
        <w:tc>
          <w:tcPr>
            <w:tcW w:w="819" w:type="dxa"/>
            <w:tcBorders>
              <w:start w:val="single" w:sz="8" w:space="0" w:color="000000"/>
              <w:bottom w:val="single" w:sz="8" w:space="0" w:color="000000"/>
              <w:end w:val="single" w:sz="8" w:space="0" w:color="000000"/>
            </w:tcBorders>
          </w:tcPr>
          <w:p>
            <w:pPr>
              <w:pStyle w:val="Normal"/>
              <w:bidi w:val="0"/>
              <w:spacing w:before="0" w:after="0"/>
              <w:rPr/>
            </w:pPr>
            <w:r>
              <w:rPr/>
              <w:t>1</w:t>
            </w:r>
          </w:p>
        </w:tc>
        <w:tc>
          <w:tcPr>
            <w:tcW w:w="1409" w:type="dxa"/>
            <w:tcBorders>
              <w:bottom w:val="single" w:sz="8" w:space="0" w:color="000000"/>
              <w:end w:val="single" w:sz="8" w:space="0" w:color="000000"/>
            </w:tcBorders>
          </w:tcPr>
          <w:p>
            <w:pPr>
              <w:pStyle w:val="Normal"/>
              <w:bidi w:val="0"/>
              <w:spacing w:before="0" w:after="0"/>
              <w:rPr/>
            </w:pPr>
            <w:r>
              <w:rPr/>
              <w:t>1.000363</w:t>
            </w:r>
          </w:p>
        </w:tc>
        <w:tc>
          <w:tcPr>
            <w:tcW w:w="1616" w:type="dxa"/>
            <w:tcBorders>
              <w:bottom w:val="single" w:sz="8" w:space="0" w:color="000000"/>
              <w:end w:val="single" w:sz="8" w:space="0" w:color="000000"/>
            </w:tcBorders>
          </w:tcPr>
          <w:p>
            <w:pPr>
              <w:pStyle w:val="Normal"/>
              <w:bidi w:val="0"/>
              <w:spacing w:before="0" w:after="0"/>
              <w:rPr/>
            </w:pPr>
            <w:r>
              <w:rPr/>
              <w:t>Cấp phép nhập khẩu tự động thuốc lá điếu, xì gà</w:t>
            </w:r>
          </w:p>
        </w:tc>
        <w:tc>
          <w:tcPr>
            <w:tcW w:w="3205" w:type="dxa"/>
            <w:tcBorders>
              <w:bottom w:val="single" w:sz="8" w:space="0" w:color="000000"/>
              <w:end w:val="single" w:sz="8" w:space="0" w:color="000000"/>
            </w:tcBorders>
          </w:tcPr>
          <w:p>
            <w:pPr>
              <w:pStyle w:val="Normal"/>
              <w:bidi w:val="0"/>
              <w:spacing w:before="0" w:after="0"/>
              <w:rPr/>
            </w:pPr>
            <w:r>
              <w:rPr/>
              <w:t>Thông tư số 07/2026/TT-BCT ngày 24 tháng 02 năm 2026 của Bộ trưởng Bộ Công Thương sửa đổi, bổ sung một số điều của Thông tư số 37/2013/TT-BCT ngày 30 tháng 12 năm 2013 của Bộ trưởng Bộ Công Thương quy định nhập khẩu thuốc lá điếu, xì gà</w:t>
            </w:r>
          </w:p>
        </w:tc>
        <w:tc>
          <w:tcPr>
            <w:tcW w:w="927" w:type="dxa"/>
            <w:tcBorders>
              <w:bottom w:val="single" w:sz="8" w:space="0" w:color="000000"/>
              <w:end w:val="single" w:sz="8" w:space="0" w:color="000000"/>
            </w:tcBorders>
          </w:tcPr>
          <w:p>
            <w:pPr>
              <w:pStyle w:val="Normal"/>
              <w:bidi w:val="0"/>
              <w:spacing w:before="0" w:after="0"/>
              <w:rPr/>
            </w:pPr>
            <w:r>
              <w:rPr/>
              <w:t>Xuất nhập khẩu</w:t>
            </w:r>
          </w:p>
        </w:tc>
        <w:tc>
          <w:tcPr>
            <w:tcW w:w="1996" w:type="dxa"/>
            <w:tcBorders>
              <w:bottom w:val="single" w:sz="8" w:space="0" w:color="000000"/>
              <w:end w:val="single" w:sz="8" w:space="0" w:color="000000"/>
            </w:tcBorders>
          </w:tcPr>
          <w:p>
            <w:pPr>
              <w:pStyle w:val="Normal"/>
              <w:bidi w:val="0"/>
              <w:spacing w:before="0" w:after="0"/>
              <w:rPr/>
            </w:pPr>
            <w:r>
              <w:rPr/>
              <w:t>UBND cấp tỉnh/thành phố nơi thương nhân có trụ sở chính</w:t>
            </w:r>
          </w:p>
        </w:tc>
      </w:tr>
    </w:tbl>
    <w:p>
      <w:pPr>
        <w:pStyle w:val="Normal"/>
        <w:bidi w:val="0"/>
        <w:spacing w:before="0" w:after="120"/>
        <w:rPr/>
      </w:pPr>
      <w:r>
        <w:rPr/>
        <w:t> </w:t>
      </w:r>
    </w:p>
    <w:p>
      <w:pPr>
        <w:pStyle w:val="Normal"/>
        <w:bidi w:val="0"/>
        <w:spacing w:before="0" w:after="120"/>
        <w:jc w:val="center"/>
        <w:rPr/>
      </w:pPr>
      <w:bookmarkStart w:id="11" w:name="chuong_2"/>
      <w:r>
        <w:rPr>
          <w:b/>
          <w:bCs/>
        </w:rPr>
        <w:t>PHẦN II</w:t>
      </w:r>
      <w:bookmarkEnd w:id="11"/>
    </w:p>
    <w:p>
      <w:pPr>
        <w:pStyle w:val="Normal"/>
        <w:bidi w:val="0"/>
        <w:spacing w:before="0" w:after="120"/>
        <w:jc w:val="center"/>
        <w:rPr/>
      </w:pPr>
      <w:bookmarkStart w:id="12" w:name="chuong_2_name"/>
      <w:r>
        <w:rPr>
          <w:b/>
          <w:bCs/>
        </w:rPr>
        <w:t>NỘI DUNG CỤ THỂ CỦA THỦ TỤC HÀNH CHÍNH SỬA ĐỔI, BỔ SUNG TRONG LĨNH VỰC XUẤT NHẬP KHẨU THUỘC PHẠM VI CHỨC NĂNG CỦA BỘ CÔNG THƯƠNG</w:t>
      </w:r>
      <w:bookmarkEnd w:id="12"/>
    </w:p>
    <w:p>
      <w:pPr>
        <w:pStyle w:val="Normal"/>
        <w:bidi w:val="0"/>
        <w:spacing w:before="0" w:after="120"/>
        <w:rPr/>
      </w:pPr>
      <w:bookmarkStart w:id="13" w:name="dieu_1_1"/>
      <w:r>
        <w:rPr>
          <w:b/>
          <w:bCs/>
        </w:rPr>
        <w:t>Cấp phép nhập khẩu tự động thuốc lá điếu, xì gà</w:t>
      </w:r>
      <w:bookmarkEnd w:id="13"/>
      <w:r>
        <w:rPr>
          <w:b/>
          <w:bCs/>
        </w:rPr>
        <w:t xml:space="preserve"> </w:t>
      </w:r>
    </w:p>
    <w:p>
      <w:pPr>
        <w:pStyle w:val="Normal"/>
        <w:bidi w:val="0"/>
        <w:spacing w:before="0" w:after="120"/>
        <w:rPr/>
      </w:pPr>
      <w:r>
        <w:rPr>
          <w:b/>
          <w:bCs/>
        </w:rPr>
        <w:t>1. Trình tự thực hiện</w:t>
      </w:r>
    </w:p>
    <w:p>
      <w:pPr>
        <w:pStyle w:val="Normal"/>
        <w:bidi w:val="0"/>
        <w:spacing w:before="0" w:after="120"/>
        <w:rPr/>
      </w:pPr>
      <w:r>
        <w:rPr/>
        <w:t xml:space="preserve">Bước 1: </w:t>
      </w:r>
      <w:r>
        <w:rPr>
          <w:lang w:val="en-AU" w:eastAsia="en-AU"/>
        </w:rPr>
        <w:t>Thương nhân nộp 01(một) bộ hồ sơ trực tiếp tại UBND tỉnh/thành phố nơi thương nhân có trụ sở chính hoặc nộp hồ sơ thông qua dịch vụ bưu chính công ích, trực tuyến của Cơ quan cấp phép.</w:t>
      </w:r>
    </w:p>
    <w:p>
      <w:pPr>
        <w:pStyle w:val="Normal"/>
        <w:bidi w:val="0"/>
        <w:spacing w:before="0" w:after="120"/>
        <w:rPr/>
      </w:pPr>
      <w:r>
        <w:rPr/>
        <w:t>Bước 2: C</w:t>
      </w:r>
      <w:r>
        <w:rPr>
          <w:lang w:val="en-AU" w:eastAsia="en-AU"/>
        </w:rPr>
        <w:t xml:space="preserve">ơ quan cấp phép </w:t>
      </w:r>
      <w:r>
        <w:rPr/>
        <w:t xml:space="preserve">kiểm tra tính hợp lệ, đầy đủ của hồ sơ. </w:t>
      </w:r>
    </w:p>
    <w:p>
      <w:pPr>
        <w:pStyle w:val="Normal"/>
        <w:bidi w:val="0"/>
        <w:spacing w:before="0" w:after="120"/>
        <w:rPr/>
      </w:pPr>
      <w:r>
        <w:rPr/>
        <w:t xml:space="preserve">Bước 3: </w:t>
      </w:r>
      <w:r>
        <w:rPr>
          <w:lang w:val="en-AU" w:eastAsia="en-AU"/>
        </w:rPr>
        <w:t>Trong 5 (năm) ngày làm việc kể từ khi nhận được hồ sơ đầy đủ, cơ quan cấp phép tiến hành xác nhận Đơn đăng ký nhập khẩu tự động thuốc lá điếu, xì gà. Trường hợp hồ sơ chưa đầy đủ, hợp lệ  hoặc trường hợp không xác nhận, cơ quan cấp phép có văn bản thông báo cho thương nhân bổ sung hồ sơ hoặc nêu rõ lý do.</w:t>
      </w:r>
    </w:p>
    <w:p>
      <w:pPr>
        <w:pStyle w:val="Normal"/>
        <w:bidi w:val="0"/>
        <w:spacing w:before="0" w:after="120"/>
        <w:rPr/>
      </w:pPr>
      <w:r>
        <w:rPr>
          <w:b/>
          <w:bCs/>
        </w:rPr>
        <w:t>2. Cách thức thực hiện</w:t>
      </w:r>
      <w:r>
        <w:rPr/>
        <w:t>: Thương nhân nộp 01(một) bộ hồ sơ trực tiếp tại UBND tỉnh/thành phố nơi thương nhân có trụ sở chính hoặc nộp hồ sơ thông qua dịch vụ bưu chính công ích, trực tuyến của Cơ quan cấp phép.</w:t>
      </w:r>
      <w:r>
        <w:rPr>
          <w:b/>
          <w:bCs/>
        </w:rPr>
        <w:t xml:space="preserve"> </w:t>
      </w:r>
    </w:p>
    <w:p>
      <w:pPr>
        <w:pStyle w:val="Normal"/>
        <w:bidi w:val="0"/>
        <w:spacing w:before="0" w:after="120"/>
        <w:rPr/>
      </w:pPr>
      <w:r>
        <w:rPr>
          <w:b/>
          <w:bCs/>
        </w:rPr>
        <w:t>3. Thành phần, số lượng hồ sơ</w:t>
      </w:r>
      <w:r>
        <w:rPr/>
        <w:t>:</w:t>
      </w:r>
    </w:p>
    <w:p>
      <w:pPr>
        <w:pStyle w:val="Normal"/>
        <w:shd w:fill="FFFFFF" w:val="clear"/>
        <w:bidi w:val="0"/>
        <w:spacing w:before="0" w:after="120"/>
        <w:rPr/>
      </w:pPr>
      <w:r>
        <w:rPr>
          <w:b/>
          <w:bCs/>
          <w:i/>
          <w:iCs/>
        </w:rPr>
        <w:t>3.1 Thành phần hồ sơ bao gồm</w:t>
      </w:r>
    </w:p>
    <w:p>
      <w:pPr>
        <w:pStyle w:val="Normal"/>
        <w:bidi w:val="0"/>
        <w:spacing w:before="0" w:after="120"/>
        <w:rPr/>
      </w:pPr>
      <w:r>
        <w:rPr>
          <w:lang w:val="en-AU" w:eastAsia="en-AU"/>
        </w:rPr>
        <w:t xml:space="preserve">a) Đơn đăng ký nhập khẩu tự động thuốc lá điếu, xì gà: 02 (hai) bản theo mẫu quy định tại </w:t>
      </w:r>
      <w:bookmarkStart w:id="14" w:name="bieumau_pl_02_07_2026_tt_bct"/>
      <w:r>
        <w:rPr>
          <w:lang w:val="en-AU" w:eastAsia="en-AU"/>
        </w:rPr>
        <w:t>Phụ lục II</w:t>
      </w:r>
      <w:bookmarkEnd w:id="14"/>
      <w:r>
        <w:rPr>
          <w:lang w:val="en-AU" w:eastAsia="en-AU"/>
        </w:rPr>
        <w:t xml:space="preserve"> ban hành kèm theo Thông tư số 07/2026/TT-BCT ngày 24 tháng 02 năm 2026 của Bộ trưởng Bộ Công Thương sửa đổi, bổ sung một số điều của Thông tư số 37/2013/TT-BCT ngày 30 tháng 12 năm 2013 của Bộ trưởng Bộ Công Thương quy định nhập khẩu thuốc lá điếu, xì gà;</w:t>
      </w:r>
    </w:p>
    <w:p>
      <w:pPr>
        <w:pStyle w:val="Normal"/>
        <w:bidi w:val="0"/>
        <w:spacing w:before="0" w:after="120"/>
        <w:rPr/>
      </w:pPr>
      <w:r>
        <w:rPr>
          <w:lang w:val="en-AU" w:eastAsia="en-AU"/>
        </w:rPr>
        <w:t>b) Hợp đồng nhập khẩu: 01 (một) bản sao (có đóng dấu sao y bản chính của thương nhân);</w:t>
      </w:r>
    </w:p>
    <w:p>
      <w:pPr>
        <w:pStyle w:val="Normal"/>
        <w:bidi w:val="0"/>
        <w:spacing w:before="0" w:after="120"/>
        <w:rPr/>
      </w:pPr>
      <w:r>
        <w:rPr>
          <w:lang w:val="en-AU" w:eastAsia="en-AU"/>
        </w:rPr>
        <w:t>c) Hóa đơn thương mại: 01 (một) bản sao (có đóng dấu sao y bản chính của thương nhân);</w:t>
      </w:r>
    </w:p>
    <w:p>
      <w:pPr>
        <w:pStyle w:val="Normal"/>
        <w:bidi w:val="0"/>
        <w:spacing w:before="0" w:after="120"/>
        <w:rPr/>
      </w:pPr>
      <w:r>
        <w:rPr>
          <w:lang w:val="en-AU" w:eastAsia="en-AU"/>
        </w:rPr>
        <w:t>d) Vận đơn hoặc chứng từ vận tải của lô hàng: 01 (một) bản sao (có đóng dấu sao y bản chính của thương nhân) (nếu có);</w:t>
      </w:r>
    </w:p>
    <w:p>
      <w:pPr>
        <w:pStyle w:val="Normal"/>
        <w:bidi w:val="0"/>
        <w:spacing w:before="0" w:after="120"/>
        <w:rPr/>
      </w:pPr>
      <w:r>
        <w:rPr>
          <w:lang w:val="en-AU" w:eastAsia="en-AU"/>
        </w:rPr>
        <w:t>đ) Giấy phép sản xuất sản phẩm thuốc lá: 01 (một) bản sao (có đóng dấu sao y bản chính của thương nhân)”.</w:t>
      </w:r>
    </w:p>
    <w:p>
      <w:pPr>
        <w:pStyle w:val="Normal"/>
        <w:shd w:fill="FFFFFF" w:val="clear"/>
        <w:bidi w:val="0"/>
        <w:spacing w:before="0" w:after="120"/>
        <w:rPr/>
      </w:pPr>
      <w:r>
        <w:rPr>
          <w:b/>
          <w:bCs/>
          <w:i/>
          <w:iCs/>
        </w:rPr>
        <w:t>3.2 Số lượng hồ sơ:</w:t>
      </w:r>
      <w:r>
        <w:rPr/>
        <w:t xml:space="preserve"> 01 bộ </w:t>
      </w:r>
    </w:p>
    <w:p>
      <w:pPr>
        <w:pStyle w:val="Normal"/>
        <w:bidi w:val="0"/>
        <w:spacing w:before="0" w:after="120"/>
        <w:rPr/>
      </w:pPr>
      <w:r>
        <w:rPr>
          <w:b/>
          <w:bCs/>
        </w:rPr>
        <w:t>4. Thời hạn giải quyết</w:t>
      </w:r>
      <w:r>
        <w:rPr/>
        <w:t xml:space="preserve">: </w:t>
      </w:r>
      <w:r>
        <w:rPr>
          <w:lang w:val="en-AU" w:eastAsia="en-AU"/>
        </w:rPr>
        <w:t>Trong 5 (năm) ngày làm việc kể từ khi nhận được hồ sơ đầy đủ, hợp lệ cơ quan cấp phép tiến hành xác nhận Đơn đăng ký nhập khẩu tự động thuốc lá điếu, xì gà. Trường hợp hồ sơ chưa đầy đủ, hợp lệ  hoặc trường hợp không xác nhận, cơ quan cấp phép có văn bản thông báo cho thương nhân bổ sung hồ sơ hoặc nêu rõ lý do.</w:t>
      </w:r>
    </w:p>
    <w:p>
      <w:pPr>
        <w:pStyle w:val="Normal"/>
        <w:bidi w:val="0"/>
        <w:spacing w:before="0" w:after="120"/>
        <w:rPr/>
      </w:pPr>
      <w:r>
        <w:rPr>
          <w:b/>
          <w:bCs/>
          <w:shd w:fill="FFFFFF" w:val="clear"/>
        </w:rPr>
        <w:t xml:space="preserve">5. </w:t>
      </w:r>
      <w:r>
        <w:rPr>
          <w:b/>
          <w:bCs/>
        </w:rPr>
        <w:t>Đối tượng thực hiện thủ tục hành chính</w:t>
      </w:r>
      <w:r>
        <w:rPr/>
        <w:t>: Thương nhân có Giấy phép sản xuất sản phẩm thuốc lá</w:t>
      </w:r>
      <w:r>
        <w:rPr>
          <w:color w:val="000000"/>
        </w:rPr>
        <w:t xml:space="preserve"> và do Nhà nước nắm giữ 100% vốn điều lệ</w:t>
      </w:r>
      <w:r>
        <w:rPr/>
        <w:t>.</w:t>
      </w:r>
    </w:p>
    <w:p>
      <w:pPr>
        <w:pStyle w:val="Normal"/>
        <w:bidi w:val="0"/>
        <w:spacing w:before="0" w:after="120"/>
        <w:rPr/>
      </w:pPr>
      <w:r>
        <w:rPr>
          <w:b/>
          <w:bCs/>
        </w:rPr>
        <w:t>6. Cơ quan thực hiện thủ tục hành chính</w:t>
      </w:r>
      <w:r>
        <w:rPr/>
        <w:t xml:space="preserve">: </w:t>
      </w:r>
    </w:p>
    <w:p>
      <w:pPr>
        <w:pStyle w:val="Normal"/>
        <w:bidi w:val="0"/>
        <w:spacing w:before="0" w:after="120"/>
        <w:rPr/>
      </w:pPr>
      <w:r>
        <w:rPr>
          <w:lang w:val="en-AU" w:eastAsia="en-AU"/>
        </w:rPr>
        <w:t>UBND tỉnh/thành phố nơi thương nhân có trụ sở chính</w:t>
      </w:r>
      <w:r>
        <w:rPr/>
        <w:t>.</w:t>
      </w:r>
    </w:p>
    <w:p>
      <w:pPr>
        <w:pStyle w:val="Normal"/>
        <w:bidi w:val="0"/>
        <w:spacing w:before="0" w:after="120"/>
        <w:rPr/>
      </w:pPr>
      <w:r>
        <w:rPr>
          <w:b/>
          <w:bCs/>
        </w:rPr>
        <w:t>7. Kết quả thực hiện thủ tục hành chính</w:t>
      </w:r>
      <w:r>
        <w:rPr/>
        <w:t>: Cơ quan cấp phép xác nhận trên Đơn đăng ký nhập khẩu tự động thuốc lá điếu, xì gà của thương nhân gửi.</w:t>
      </w:r>
    </w:p>
    <w:p>
      <w:pPr>
        <w:pStyle w:val="Normal"/>
        <w:bidi w:val="0"/>
        <w:spacing w:before="0" w:after="120"/>
        <w:rPr/>
      </w:pPr>
      <w:r>
        <w:rPr>
          <w:b/>
          <w:bCs/>
        </w:rPr>
        <w:t>8. Lệ phí</w:t>
      </w:r>
      <w:r>
        <w:rPr/>
        <w:t>: Không thu phí</w:t>
      </w:r>
    </w:p>
    <w:p>
      <w:pPr>
        <w:pStyle w:val="Normal"/>
        <w:bidi w:val="0"/>
        <w:spacing w:before="0" w:after="120"/>
        <w:rPr/>
      </w:pPr>
      <w:r>
        <w:rPr>
          <w:b/>
          <w:bCs/>
        </w:rPr>
        <w:t>9. Tên mẫu đơn, mẫu tờ khai</w:t>
      </w:r>
      <w:r>
        <w:rPr/>
        <w:t xml:space="preserve">: </w:t>
      </w:r>
    </w:p>
    <w:p>
      <w:pPr>
        <w:pStyle w:val="Normal"/>
        <w:bidi w:val="0"/>
        <w:spacing w:before="0" w:after="120"/>
        <w:rPr/>
      </w:pPr>
      <w:r>
        <w:rPr>
          <w:color w:val="000000"/>
        </w:rPr>
        <w:t xml:space="preserve">Đơn đăng ký nhập khẩu thuốc lá điếu, xì gà (thuộc </w:t>
      </w:r>
      <w:bookmarkStart w:id="15" w:name="bieumau_pl_02_07_2026_tt_bct_1"/>
      <w:r>
        <w:rPr>
          <w:color w:val="000000"/>
        </w:rPr>
        <w:t>Phụ lục II</w:t>
      </w:r>
      <w:bookmarkEnd w:id="15"/>
      <w:r>
        <w:rPr>
          <w:color w:val="000000"/>
        </w:rPr>
        <w:t xml:space="preserve"> ban hành kèm theo Thông tư số 07/2026/TT-BCT); </w:t>
      </w:r>
    </w:p>
    <w:p>
      <w:pPr>
        <w:pStyle w:val="Normal"/>
        <w:shd w:fill="FFFFFF" w:val="clear"/>
        <w:bidi w:val="0"/>
        <w:spacing w:before="0" w:after="120"/>
        <w:rPr/>
      </w:pPr>
      <w:r>
        <w:rPr>
          <w:b/>
          <w:bCs/>
        </w:rPr>
        <w:t>10. Yêu cầu, điều kiện thực hiện thủ tục hành chính</w:t>
      </w:r>
      <w:r>
        <w:rPr/>
        <w:t>:</w:t>
      </w:r>
    </w:p>
    <w:p>
      <w:pPr>
        <w:pStyle w:val="Normal"/>
        <w:bidi w:val="0"/>
        <w:spacing w:before="0" w:after="120"/>
        <w:rPr/>
      </w:pPr>
      <w:r>
        <w:rPr>
          <w:color w:val="000000"/>
        </w:rPr>
        <w:t>- Các thương nhân có Giấy phép sản xuất sản phẩm thuốc lá và do Nhà nước nắm giữ 100% vốn điều lệ là thương nhân nhập khẩu thuốc lá điếu, xì gà theo cơ chế thương mại nhà nước.</w:t>
      </w:r>
    </w:p>
    <w:p>
      <w:pPr>
        <w:pStyle w:val="Normal"/>
        <w:bidi w:val="0"/>
        <w:spacing w:before="0" w:after="120"/>
        <w:rPr/>
      </w:pPr>
      <w:r>
        <w:rPr>
          <w:color w:val="000000"/>
        </w:rPr>
        <w:t>- Thương nhân có Giấy phép sản xuất sản phẩm thuốc lá phải trực tiếp thực hiện nhập khẩu thuốc lá điếu, xì gà, không được ủy quyền, ủy thác cho thương nhân khác thực hiện”.</w:t>
      </w:r>
    </w:p>
    <w:p>
      <w:pPr>
        <w:pStyle w:val="Normal"/>
        <w:bidi w:val="0"/>
        <w:spacing w:before="0" w:after="120"/>
        <w:rPr/>
      </w:pPr>
      <w:r>
        <w:rPr>
          <w:b/>
          <w:bCs/>
        </w:rPr>
        <w:t>11. Căn cứ pháp lý của thủ tục hành chính</w:t>
      </w:r>
      <w:r>
        <w:rPr/>
        <w:t>:</w:t>
      </w:r>
    </w:p>
    <w:p>
      <w:pPr>
        <w:pStyle w:val="Normal"/>
        <w:bidi w:val="0"/>
        <w:spacing w:before="0" w:after="120"/>
        <w:rPr/>
      </w:pPr>
      <w:r>
        <w:rPr/>
        <w:t>- Luật Quản lý ngoại thương số 05/2017/QH14;</w:t>
      </w:r>
    </w:p>
    <w:p>
      <w:pPr>
        <w:pStyle w:val="Normal"/>
        <w:bidi w:val="0"/>
        <w:spacing w:before="0" w:after="120"/>
        <w:rPr/>
      </w:pPr>
      <w:r>
        <w:rPr/>
        <w:t>- Nghị định số 69/2018/NĐ-CP ngày 15 tháng 5 năm 2018 của Chính phủ quy định chi tiết một số điều của Luật Quản lý ngoại thương;</w:t>
      </w:r>
    </w:p>
    <w:p>
      <w:pPr>
        <w:pStyle w:val="Normal"/>
        <w:bidi w:val="0"/>
        <w:spacing w:before="0" w:after="120"/>
        <w:rPr/>
      </w:pPr>
      <w:r>
        <w:rPr/>
        <w:t>- Nghị định số 67/2013/NĐ-CP ngày 27 tháng 6 năm 2013 của Chính phủ quy định chi tiết một số điều và biện pháp thi hành Luật Phòng, chống tác hại của thuốc lá về kinh doanh thuốc lá;</w:t>
      </w:r>
    </w:p>
    <w:p>
      <w:pPr>
        <w:pStyle w:val="Normal"/>
        <w:bidi w:val="0"/>
        <w:spacing w:before="0" w:after="120"/>
        <w:rPr/>
      </w:pPr>
      <w:r>
        <w:rPr/>
        <w:t>- Nghị định số 94/2017/NĐ-CP ngày 10 tháng 8 năm 2017 của Chính phủ về hàng hóa, dịch vụ, địa bàn thực hiện độc quyền nhà nước trong hoạt động thương mại;</w:t>
      </w:r>
    </w:p>
    <w:p>
      <w:pPr>
        <w:pStyle w:val="Normal"/>
        <w:bidi w:val="0"/>
        <w:spacing w:before="0" w:after="120"/>
        <w:rPr/>
      </w:pPr>
      <w:r>
        <w:rPr/>
        <w:t>- Thông tư số 38/2025/TT-BCT ngày 19 tháng 6 năm 2025 của Bộ trưởng Bộ Công Thương sửa đổi, bổ sung một số quy định về phân cấp thực hiện thủ tục hành chính trong các lĩnh vực thuộc phạm vi quản lý của Bộ Công Thương;</w:t>
      </w:r>
    </w:p>
    <w:p>
      <w:pPr>
        <w:pStyle w:val="Normal"/>
        <w:bidi w:val="0"/>
        <w:spacing w:before="0" w:after="120"/>
        <w:rPr/>
      </w:pPr>
      <w:r>
        <w:rPr/>
        <w:t>- Thông tư số 07/2026/TT-BCT ngày 24 tháng 02 năm 2026 của Bộ trưởng Bộ Công Thương sửa đổi, bổ sung một số điều của Thông tư số 37/2013/TT-BCT ngày 30 tháng 12 năm 2013 của Bộ trưởng Bộ Công Thương quy định nhập khẩu thuốc lá điếu, xì gà.</w:t>
      </w:r>
    </w:p>
    <w:p>
      <w:pPr>
        <w:pStyle w:val="Normal"/>
        <w:bidi w:val="0"/>
        <w:spacing w:before="0" w:after="120"/>
        <w:jc w:val="center"/>
        <w:rPr/>
      </w:pPr>
      <w:r>
        <w:rPr>
          <w:b/>
          <w:bCs/>
          <w:color w:val="000000"/>
          <w:lang w:val="nl-NL" w:eastAsia="nl-NL"/>
        </w:rPr>
        <w:t> </w:t>
      </w:r>
    </w:p>
    <w:p>
      <w:pPr>
        <w:pStyle w:val="Normal"/>
        <w:bidi w:val="0"/>
        <w:spacing w:before="0" w:after="120"/>
        <w:jc w:val="center"/>
        <w:rPr/>
      </w:pPr>
      <w:bookmarkStart w:id="16" w:name="chuong_pl1"/>
      <w:r>
        <w:rPr>
          <w:b/>
          <w:bCs/>
          <w:color w:val="000000"/>
          <w:lang w:val="nl-NL" w:eastAsia="nl-NL"/>
        </w:rPr>
        <w:t>MẪU ĐƠN ĐĂNG KÝ</w:t>
      </w:r>
      <w:bookmarkEnd w:id="16"/>
    </w:p>
    <w:p>
      <w:pPr>
        <w:pStyle w:val="Normal"/>
        <w:bidi w:val="0"/>
        <w:spacing w:before="0" w:after="120"/>
        <w:jc w:val="center"/>
        <w:rPr/>
      </w:pPr>
      <w:bookmarkStart w:id="17" w:name="chuong_pl1_name"/>
      <w:r>
        <w:rPr>
          <w:b/>
          <w:bCs/>
          <w:color w:val="000000"/>
          <w:lang w:val="nl-NL" w:eastAsia="nl-NL"/>
        </w:rPr>
        <w:t>NHẬP KHẨU TỰ ĐỘNG THUỐC LÁ ĐIẾU, XÌ GÀ</w:t>
      </w:r>
      <w:bookmarkEnd w:id="17"/>
    </w:p>
    <w:p>
      <w:pPr>
        <w:pStyle w:val="Normal"/>
        <w:bidi w:val="0"/>
        <w:spacing w:before="0" w:after="120"/>
        <w:jc w:val="center"/>
        <w:rPr/>
      </w:pPr>
      <w:r>
        <w:rPr>
          <w:i/>
          <w:iCs/>
          <w:color w:val="000000"/>
          <w:lang w:val="nl-NL" w:eastAsia="nl-NL"/>
        </w:rPr>
        <w:t>(</w:t>
      </w:r>
      <w:r>
        <w:rPr>
          <w:i/>
          <w:iCs/>
          <w:color w:val="000000"/>
        </w:rPr>
        <w:t>(thuộc Phụ lục II ban hành kèm theo Thông tư số 07/2026/TT-BCT)</w:t>
      </w:r>
    </w:p>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TÊN THƯƠNG NHÂN</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120"/>
              <w:jc w:val="center"/>
              <w:rPr/>
            </w:pPr>
            <w:r>
              <w:rPr/>
              <w:t>Số: ……………</w:t>
            </w:r>
          </w:p>
          <w:p>
            <w:pPr>
              <w:pStyle w:val="Normal"/>
              <w:bidi w:val="0"/>
              <w:spacing w:before="0" w:after="0"/>
              <w:jc w:val="center"/>
              <w:rPr/>
            </w:pPr>
            <w:r>
              <w:rPr/>
              <w:t>V/v đề nghị xác nhận Đơn đăng ký nhập khẩu tự động thuốc lá điếu, xì gà</w:t>
            </w:r>
          </w:p>
        </w:tc>
        <w:tc>
          <w:tcPr>
            <w:tcW w:w="6607" w:type="dxa"/>
            <w:tcBorders/>
          </w:tcPr>
          <w:p>
            <w:pPr>
              <w:pStyle w:val="Normal"/>
              <w:bidi w:val="0"/>
              <w:spacing w:before="0" w:after="0"/>
              <w:jc w:val="center"/>
              <w:rPr/>
            </w:pPr>
            <w:r>
              <w:rPr>
                <w:i/>
                <w:iCs/>
              </w:rPr>
              <w:t>....., ngày ... tháng ... năm ...</w:t>
            </w:r>
          </w:p>
        </w:tc>
      </w:tr>
    </w:tbl>
    <w:p>
      <w:pPr>
        <w:pStyle w:val="Normal"/>
        <w:bidi w:val="0"/>
        <w:spacing w:before="0" w:after="120"/>
        <w:jc w:val="center"/>
        <w:rPr/>
      </w:pPr>
      <w:r>
        <w:rPr/>
        <w:t> </w:t>
      </w:r>
    </w:p>
    <w:p>
      <w:pPr>
        <w:pStyle w:val="Normal"/>
        <w:bidi w:val="0"/>
        <w:spacing w:before="0" w:after="120"/>
        <w:jc w:val="center"/>
        <w:rPr/>
      </w:pPr>
      <w:r>
        <w:rPr/>
        <w:t>Kính gửi</w:t>
      </w:r>
      <w:hyperlink w:anchor="_ftn1">
        <w:r>
          <w:rPr>
            <w:rStyle w:val="Hyperlink"/>
            <w:color w:val="0000FF"/>
            <w:u w:val="single"/>
          </w:rPr>
          <w:t>[1]</w:t>
        </w:r>
      </w:hyperlink>
      <w:r>
        <w:rPr/>
        <w:t xml:space="preserve">: </w:t>
      </w:r>
    </w:p>
    <w:p>
      <w:pPr>
        <w:pStyle w:val="Normal"/>
        <w:bidi w:val="0"/>
        <w:spacing w:before="0" w:after="120"/>
        <w:jc w:val="center"/>
        <w:rPr/>
      </w:pPr>
      <w:r>
        <w:rPr>
          <w:i/>
          <w:iCs/>
        </w:rPr>
        <w:t>(Địa chỉ:….</w:t>
      </w:r>
      <w:r>
        <w:rPr>
          <w:i/>
          <w:iCs/>
          <w:lang w:val="nl-NL" w:eastAsia="nl-NL"/>
        </w:rPr>
        <w:t>)</w:t>
      </w:r>
    </w:p>
    <w:p>
      <w:pPr>
        <w:pStyle w:val="Normal"/>
        <w:bidi w:val="0"/>
        <w:spacing w:before="0" w:after="120"/>
        <w:rPr/>
      </w:pPr>
      <w:r>
        <w:rPr/>
        <w:t xml:space="preserve">Căn cứ Thông tư số 37/2013/TT - BCT ngày 30 tháng 12 năm 2013 của Bộ Công Thương quy định nhập khẩu thuốc lá điếu, xì gà và Thông tư số 07/2026/TT-BCT ngày 24 tháng 02 năm 2026 sửa đổi, bổ sung Thông tư số 37/2013/TT-BCT, (Tên </w:t>
      </w:r>
      <w:r>
        <w:rPr>
          <w:lang w:val="nl-NL" w:eastAsia="nl-NL"/>
        </w:rPr>
        <w:t>thương nhân</w:t>
      </w:r>
      <w:r>
        <w:rPr/>
        <w:t xml:space="preserve"> ...), đề nghị</w:t>
      </w:r>
      <w:r>
        <w:rPr>
          <w:vertAlign w:val="superscript"/>
        </w:rPr>
        <w:t>1</w:t>
      </w:r>
      <w:r>
        <w:rPr/>
        <w:t xml:space="preserve"> xác nhận Đơn đăng ký nhập khẩu tự động thuốc lá điếu, xì gà như sau: </w:t>
      </w:r>
    </w:p>
    <w:p>
      <w:pPr>
        <w:pStyle w:val="Normal"/>
        <w:bidi w:val="0"/>
        <w:spacing w:before="0" w:after="120"/>
        <w:rPr/>
      </w:pPr>
      <w:r>
        <w:rPr/>
        <w:t xml:space="preserve">Tên hàng và nhãn hiệu: ........................................................................................... </w:t>
      </w:r>
    </w:p>
    <w:p>
      <w:pPr>
        <w:pStyle w:val="Normal"/>
        <w:bidi w:val="0"/>
        <w:spacing w:before="0" w:after="120"/>
        <w:rPr/>
      </w:pPr>
      <w:r>
        <w:rPr/>
        <w:t xml:space="preserve">Mã số (HS 8 số): ..................................................................................................... </w:t>
      </w:r>
    </w:p>
    <w:p>
      <w:pPr>
        <w:pStyle w:val="Normal"/>
        <w:bidi w:val="0"/>
        <w:spacing w:before="0" w:after="120"/>
        <w:rPr/>
      </w:pPr>
      <w:r>
        <w:rPr/>
        <w:t xml:space="preserve">Hợp đồng nhập khẩu số: ......................................................................................... </w:t>
      </w:r>
    </w:p>
    <w:p>
      <w:pPr>
        <w:pStyle w:val="Normal"/>
        <w:bidi w:val="0"/>
        <w:spacing w:before="0" w:after="120"/>
        <w:rPr/>
      </w:pPr>
      <w:r>
        <w:rPr/>
        <w:t xml:space="preserve">Số lượng: ............................................................................................................... </w:t>
      </w:r>
    </w:p>
    <w:p>
      <w:pPr>
        <w:pStyle w:val="Normal"/>
        <w:bidi w:val="0"/>
        <w:spacing w:before="0" w:after="120"/>
        <w:rPr/>
      </w:pPr>
      <w:r>
        <w:rPr/>
        <w:t xml:space="preserve">Trị giá (USD): ......................................................................................................... </w:t>
      </w:r>
    </w:p>
    <w:p>
      <w:pPr>
        <w:pStyle w:val="Normal"/>
        <w:bidi w:val="0"/>
        <w:spacing w:before="0" w:after="120"/>
        <w:rPr/>
      </w:pPr>
      <w:r>
        <w:rPr/>
        <w:t xml:space="preserve">Nước xuất khẩu: ..................................................................................................... </w:t>
      </w:r>
    </w:p>
    <w:p>
      <w:pPr>
        <w:pStyle w:val="Normal"/>
        <w:bidi w:val="0"/>
        <w:spacing w:before="0" w:after="120"/>
        <w:rPr/>
      </w:pPr>
      <w:r>
        <w:rPr/>
        <w:t>Chứng từ vận tải số…………………………………(nếu có)</w:t>
      </w:r>
    </w:p>
    <w:p>
      <w:pPr>
        <w:pStyle w:val="Normal"/>
        <w:bidi w:val="0"/>
        <w:spacing w:before="0" w:after="120"/>
        <w:rPr/>
      </w:pPr>
      <w:r>
        <w:rPr/>
        <w:t>Giấy phép sản xuất sản phẩm thuốc lá số:………………..</w:t>
      </w:r>
    </w:p>
    <w:p>
      <w:pPr>
        <w:pStyle w:val="Normal"/>
        <w:bidi w:val="0"/>
        <w:spacing w:before="0" w:after="120"/>
        <w:rPr/>
      </w:pPr>
      <w:r>
        <w:rPr/>
        <w:t xml:space="preserve">Sản lượng sản phẩm thuốc lá </w:t>
      </w:r>
      <w:r>
        <w:rPr>
          <w:color w:val="000000"/>
        </w:rPr>
        <w:t>được phép sản xuất và nhập khẩu hàng năm để tiêu thụ trong nước:</w:t>
      </w:r>
    </w:p>
    <w:p>
      <w:pPr>
        <w:pStyle w:val="Normal"/>
        <w:bidi w:val="0"/>
        <w:spacing w:before="0" w:after="120"/>
        <w:rPr/>
      </w:pPr>
      <w:r>
        <w:rPr>
          <w:color w:val="000000"/>
        </w:rPr>
        <w:t>Sản lượng sản phẩm thuốc lá đã sản xuất để tiêu thụ trong nước (từ thời điểm đầu năm đến thời điểm đề nghị xác nhận nhập khẩu):</w:t>
      </w:r>
    </w:p>
    <w:p>
      <w:pPr>
        <w:pStyle w:val="Normal"/>
        <w:bidi w:val="0"/>
        <w:spacing w:before="0" w:after="120"/>
        <w:rPr/>
      </w:pPr>
      <w:r>
        <w:rPr>
          <w:color w:val="000000"/>
        </w:rPr>
        <w:t>Sản lượng sản phẩm thuốc lá đã nhập khẩu để tiêu thụ trong nước</w:t>
      </w:r>
      <w:r>
        <w:rPr/>
        <w:t xml:space="preserve"> (từ thời điểm đầu năm đến thời điểm đề nghị xác nhận nhập khẩu):</w:t>
      </w:r>
    </w:p>
    <w:p>
      <w:pPr>
        <w:pStyle w:val="Normal"/>
        <w:bidi w:val="0"/>
        <w:spacing w:before="0" w:after="120"/>
        <w:rPr/>
      </w:pPr>
      <w:r>
        <w:rPr/>
        <w:t>Thương nhân xin gửi kèm theo Đơn đăng ký này bản sao hợp đồng, bản sao vận đơn (nếu có), bản sao Giấy phép sản xuất sản phẩm thuốc lá và bản sao hoá đơn thương mại của lô hàng nhập khẩu có đóng dấu sao y bản chính của thương nhân.</w:t>
      </w:r>
    </w:p>
    <w:p>
      <w:pPr>
        <w:pStyle w:val="Normal"/>
        <w:bidi w:val="0"/>
        <w:spacing w:before="0" w:after="120"/>
        <w:rPr/>
      </w:pPr>
      <w:r>
        <w:rPr/>
        <w:t> </w:t>
      </w:r>
    </w:p>
    <w:p>
      <w:pPr>
        <w:pStyle w:val="Normal"/>
        <w:bidi w:val="0"/>
        <w:spacing w:before="0" w:after="120"/>
        <w:rPr/>
      </w:pPr>
      <w:r>
        <w:rPr/>
        <w:t>Đề nghị</w:t>
      </w:r>
      <w:r>
        <w:rPr>
          <w:vertAlign w:val="superscript"/>
        </w:rPr>
        <w:t>1</w:t>
      </w:r>
      <w:r>
        <w:rPr/>
        <w:t xml:space="preserve"> xác nhận Đơn đăng ký nhập khẩu tự động lô hàng nói trên.</w:t>
      </w:r>
    </w:p>
    <w:p>
      <w:pPr>
        <w:pStyle w:val="Normal"/>
        <w:bidi w:val="0"/>
        <w:spacing w:before="0" w:after="120"/>
        <w:rPr/>
      </w:pPr>
      <w:r>
        <w:rPr>
          <w:i/>
          <w:iCs/>
          <w:u w:val="single"/>
        </w:rPr>
        <w:t>Ghi chú</w:t>
      </w:r>
      <w:r>
        <w:rPr>
          <w:i/>
          <w:iCs/>
        </w:rPr>
        <w:t>:</w:t>
      </w:r>
    </w:p>
    <w:p>
      <w:pPr>
        <w:pStyle w:val="Normal"/>
        <w:bidi w:val="0"/>
        <w:spacing w:before="0" w:after="120"/>
        <w:rPr/>
      </w:pPr>
      <w:r>
        <w:rPr>
          <w:i/>
          <w:iCs/>
        </w:rPr>
        <w:t>Đơn đăng ký được lập thành 02 bản,01 bản lưu tại Ủy ban nhân dân tỉnh/thành phố và 01 bản nộp cho cơ quan Hải quan khi làm thủ tục nhập khẩu.</w:t>
      </w:r>
    </w:p>
    <w:p>
      <w:pPr>
        <w:pStyle w:val="Normal"/>
        <w:bidi w:val="0"/>
        <w:spacing w:before="0" w:after="120"/>
        <w:rPr>
          <w:i/>
          <w:iCs/>
        </w:rPr>
      </w:pPr>
      <w:r>
        <w:rPr>
          <w:i/>
          <w:iCs/>
        </w:rPr>
        <w:t> </w:t>
      </w:r>
    </w:p>
    <w:tbl>
      <w:tblPr>
        <w:tblW w:w="8640" w:type="dxa"/>
        <w:jc w:val="start"/>
        <w:tblInd w:w="0" w:type="dxa"/>
        <w:tblLayout w:type="fixed"/>
        <w:tblCellMar>
          <w:top w:w="0" w:type="dxa"/>
          <w:start w:w="108" w:type="dxa"/>
          <w:bottom w:w="0" w:type="dxa"/>
          <w:end w:w="108" w:type="dxa"/>
        </w:tblCellMar>
      </w:tblPr>
      <w:tblGrid>
        <w:gridCol w:w="3432"/>
        <w:gridCol w:w="5208"/>
      </w:tblGrid>
      <w:tr>
        <w:trPr/>
        <w:tc>
          <w:tcPr>
            <w:tcW w:w="3432" w:type="dxa"/>
            <w:tcBorders/>
          </w:tcPr>
          <w:p>
            <w:pPr>
              <w:pStyle w:val="Normal"/>
              <w:bidi w:val="0"/>
              <w:spacing w:before="0" w:after="0"/>
              <w:jc w:val="center"/>
              <w:rPr/>
            </w:pPr>
            <w:r>
              <w:rPr>
                <w:b/>
                <w:bCs/>
                <w:color w:val="000000"/>
              </w:rPr>
              <w:t xml:space="preserve">Đã đăng ký tại </w:t>
            </w:r>
            <w:r>
              <w:rPr>
                <w:b/>
                <w:bCs/>
                <w:color w:val="000000"/>
                <w:vertAlign w:val="superscript"/>
              </w:rPr>
              <w:t>1</w:t>
              <w:br/>
            </w:r>
            <w:r>
              <w:rPr>
                <w:i/>
                <w:iCs/>
              </w:rPr>
              <w:t>(Ký tên và đóng dấu)</w:t>
            </w:r>
          </w:p>
        </w:tc>
        <w:tc>
          <w:tcPr>
            <w:tcW w:w="5208" w:type="dxa"/>
            <w:tcBorders/>
          </w:tcPr>
          <w:p>
            <w:pPr>
              <w:pStyle w:val="Normal"/>
              <w:bidi w:val="0"/>
              <w:spacing w:before="0" w:after="0"/>
              <w:jc w:val="center"/>
              <w:rPr/>
            </w:pPr>
            <w:r>
              <w:rPr>
                <w:b/>
                <w:bCs/>
              </w:rPr>
              <w:t>Người đại diện theo pháp luật của thương nhân</w:t>
              <w:br/>
            </w:r>
            <w:r>
              <w:rPr>
                <w:i/>
                <w:iCs/>
              </w:rPr>
              <w:t>(Ký tên và đóng dấu)</w:t>
            </w:r>
          </w:p>
        </w:tc>
      </w:tr>
    </w:tbl>
    <w:p>
      <w:pPr>
        <w:pStyle w:val="Normal"/>
        <w:bidi w:val="0"/>
        <w:spacing w:before="0" w:after="120"/>
        <w:rPr/>
      </w:pPr>
      <w:r>
        <w:rPr/>
        <w:t> </w:t>
      </w:r>
    </w:p>
    <w:p>
      <w:pPr>
        <w:pStyle w:val="Normal"/>
        <w:bidi w:val="0"/>
        <w:spacing w:before="0" w:after="280"/>
        <w:rPr/>
      </w:pPr>
      <w:r>
        <w:rPr>
          <w:b/>
          <w:bCs/>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0" w:after="120"/>
        <w:rPr/>
      </w:pPr>
      <w:hyperlink w:anchor="_ftnref1">
        <w:r>
          <w:rPr>
            <w:rStyle w:val="Hyperlink"/>
            <w:color w:val="0000FF"/>
            <w:u w:val="single"/>
          </w:rPr>
          <w:t>[1]</w:t>
        </w:r>
      </w:hyperlink>
      <w:r>
        <w:rPr/>
        <w:t xml:space="preserve"> Cơ quan cấp phép</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