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0"/>
              <w:jc w:val="center"/>
              <w:rPr/>
            </w:pPr>
            <w:r>
              <w:rPr>
                <w:b/>
                <w:bCs/>
              </w:rPr>
              <w:t>THỦ TƯỚNG CHÍNH PHỦ</w:t>
              <w:br/>
              <w:t>-------</w:t>
            </w:r>
          </w:p>
        </w:tc>
        <w:tc>
          <w:tcPr>
            <w:tcW w:w="610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4" w:type="dxa"/>
            <w:tcBorders/>
          </w:tcPr>
          <w:p>
            <w:pPr>
              <w:pStyle w:val="Normal"/>
              <w:bidi w:val="0"/>
              <w:spacing w:before="120" w:after="0"/>
              <w:jc w:val="center"/>
              <w:rPr/>
            </w:pPr>
            <w:r>
              <w:rPr/>
              <w:t>Số: 427/QĐ-TTg</w:t>
            </w:r>
          </w:p>
        </w:tc>
        <w:tc>
          <w:tcPr>
            <w:tcW w:w="6108" w:type="dxa"/>
            <w:tcBorders/>
          </w:tcPr>
          <w:p>
            <w:pPr>
              <w:pStyle w:val="Normal"/>
              <w:bidi w:val="0"/>
              <w:spacing w:before="120" w:after="0"/>
              <w:jc w:val="end"/>
              <w:rPr/>
            </w:pPr>
            <w:r>
              <w:rPr>
                <w:i/>
                <w:iCs/>
              </w:rPr>
              <w:t>Hà Nội, ngày 11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KIỆN TOÀN ỦY BAN QUỐC GIA VỀ TRẺ EM</w:t>
      </w:r>
      <w:bookmarkEnd w:id="1"/>
    </w:p>
    <w:p>
      <w:pPr>
        <w:pStyle w:val="Normal"/>
        <w:bidi w:val="0"/>
        <w:spacing w:before="120" w:after="280"/>
        <w:jc w:val="center"/>
        <w:rPr/>
      </w:pPr>
      <w:r>
        <w:rPr>
          <w:b/>
          <w:bCs/>
          <w:sz w:val="24"/>
        </w:rPr>
        <w:t>THỦ TƯỚNG CHÍNH PHỦ</w:t>
      </w:r>
    </w:p>
    <w:p>
      <w:pPr>
        <w:pStyle w:val="Normal"/>
        <w:bidi w:val="0"/>
        <w:spacing w:before="120" w:after="280"/>
        <w:rPr/>
      </w:pPr>
      <w:r>
        <w:rPr>
          <w:i/>
          <w:iCs/>
        </w:rPr>
        <w:t>Căn cứ Luật Tổ chức Chính phủ ngày 18 tháng 02 năm 2025;</w:t>
      </w:r>
    </w:p>
    <w:p>
      <w:pPr>
        <w:pStyle w:val="Normal"/>
        <w:bidi w:val="0"/>
        <w:spacing w:before="120" w:after="280"/>
        <w:rPr/>
      </w:pPr>
      <w:r>
        <w:rPr>
          <w:i/>
          <w:iCs/>
        </w:rPr>
        <w:t>Căn cứ Luật Trẻ em ngày 05 tháng 04 năm 2016;</w:t>
      </w:r>
    </w:p>
    <w:p>
      <w:pPr>
        <w:pStyle w:val="Normal"/>
        <w:bidi w:val="0"/>
        <w:spacing w:before="120" w:after="280"/>
        <w:rPr/>
      </w:pPr>
      <w:r>
        <w:rPr>
          <w:i/>
          <w:iCs/>
        </w:rPr>
        <w:t>Căn cứ Quyết định số 23/2023/QĐ-TTg ngày 18 tháng 9 năm 2023 của Thủ tướng Chính phủ về thành lập, tổ chức và hoạt động của tổ chức phối hợp liên ngành;</w:t>
      </w:r>
    </w:p>
    <w:p>
      <w:pPr>
        <w:pStyle w:val="Normal"/>
        <w:bidi w:val="0"/>
        <w:spacing w:before="120" w:after="280"/>
        <w:rPr/>
      </w:pPr>
      <w:r>
        <w:rPr>
          <w:i/>
          <w:iCs/>
        </w:rPr>
        <w:t>Theo đề nghị của Bộ trưởng Bộ Y tế tại Tờ trình số 1977/TTr-BYT ngày 26 tháng 12 năm 2025 và Tờ trình số 285/TTr-BYT ngày 12 tháng 02 năm 2026.</w:t>
      </w:r>
    </w:p>
    <w:p>
      <w:pPr>
        <w:pStyle w:val="Normal"/>
        <w:bidi w:val="0"/>
        <w:spacing w:before="120" w:after="280"/>
        <w:jc w:val="center"/>
        <w:rPr/>
      </w:pPr>
      <w:r>
        <w:rPr>
          <w:b/>
          <w:bCs/>
          <w:sz w:val="24"/>
        </w:rPr>
        <w:t>QUYẾT ĐỊNH:</w:t>
      </w:r>
    </w:p>
    <w:p>
      <w:pPr>
        <w:pStyle w:val="Normal"/>
        <w:bidi w:val="0"/>
        <w:spacing w:before="120" w:after="280"/>
        <w:rPr/>
      </w:pPr>
      <w:bookmarkStart w:id="2" w:name="dieu_1"/>
      <w:r>
        <w:rPr>
          <w:b/>
          <w:bCs/>
        </w:rPr>
        <w:t xml:space="preserve">Điều 1. </w:t>
      </w:r>
      <w:r>
        <w:rPr/>
        <w:t>Kiện toàn Ủy ban Quốc gia về trẻ em (sau đây gọi tắt là Ủy ban), bao gồm:</w:t>
      </w:r>
      <w:bookmarkEnd w:id="2"/>
    </w:p>
    <w:p>
      <w:pPr>
        <w:pStyle w:val="Normal"/>
        <w:bidi w:val="0"/>
        <w:spacing w:before="120" w:after="280"/>
        <w:rPr/>
      </w:pPr>
      <w:r>
        <w:rPr/>
        <w:t>1. Chủ tịch Ủy ban: Ông Lê Thành Long, Phó Thủ tướng Chính phủ.</w:t>
      </w:r>
    </w:p>
    <w:p>
      <w:pPr>
        <w:pStyle w:val="Normal"/>
        <w:bidi w:val="0"/>
        <w:spacing w:before="120" w:after="280"/>
        <w:rPr/>
      </w:pPr>
      <w:r>
        <w:rPr/>
        <w:t>2. Phó Chủ tịch Ủy ban:</w:t>
      </w:r>
    </w:p>
    <w:p>
      <w:pPr>
        <w:pStyle w:val="Normal"/>
        <w:bidi w:val="0"/>
        <w:spacing w:before="120" w:after="280"/>
        <w:rPr/>
      </w:pPr>
      <w:r>
        <w:rPr/>
        <w:t>- Phó Chủ tịch thường trực Ủy ban: Bà Đào Hồng Lan, Bộ trưởng Bộ Y tế;</w:t>
      </w:r>
    </w:p>
    <w:p>
      <w:pPr>
        <w:pStyle w:val="Normal"/>
        <w:bidi w:val="0"/>
        <w:spacing w:before="120" w:after="280"/>
        <w:rPr/>
      </w:pPr>
      <w:r>
        <w:rPr/>
        <w:t>- Phó Chủ tịch Ủy ban: Bộ trưởng Bộ Giáo dục và Đào tạo.</w:t>
      </w:r>
    </w:p>
    <w:p>
      <w:pPr>
        <w:pStyle w:val="Normal"/>
        <w:bidi w:val="0"/>
        <w:spacing w:before="120" w:after="280"/>
        <w:rPr/>
      </w:pPr>
      <w:r>
        <w:rPr/>
        <w:t>3. Các Ủy viên:</w:t>
      </w:r>
    </w:p>
    <w:p>
      <w:pPr>
        <w:pStyle w:val="Normal"/>
        <w:bidi w:val="0"/>
        <w:spacing w:before="120" w:after="280"/>
        <w:rPr/>
      </w:pPr>
      <w:r>
        <w:rPr/>
        <w:t>- Ông Nguyễn Tri Thức, Thứ trưởng Bộ Y tế, Ủy viên thường trực;</w:t>
      </w:r>
    </w:p>
    <w:p>
      <w:pPr>
        <w:pStyle w:val="Normal"/>
        <w:bidi w:val="0"/>
        <w:spacing w:before="120" w:after="280"/>
        <w:rPr/>
      </w:pPr>
      <w:r>
        <w:rPr/>
        <w:t>- Ông Nguyễn Văn Long, Thứ trưởng Bộ Công an;</w:t>
      </w:r>
    </w:p>
    <w:p>
      <w:pPr>
        <w:pStyle w:val="Normal"/>
        <w:bidi w:val="0"/>
        <w:spacing w:before="120" w:after="280"/>
        <w:rPr/>
      </w:pPr>
      <w:r>
        <w:rPr/>
        <w:t>- Bà Nguyễn Thị Bích Ngọc, Thứ trưởng Bộ Tài chính;</w:t>
      </w:r>
    </w:p>
    <w:p>
      <w:pPr>
        <w:pStyle w:val="Normal"/>
        <w:bidi w:val="0"/>
        <w:spacing w:before="120" w:after="280"/>
        <w:rPr/>
      </w:pPr>
      <w:r>
        <w:rPr/>
        <w:t>- Bà Nguyễn Thị Hà, Thứ trưởng Bộ Nội vụ;</w:t>
      </w:r>
    </w:p>
    <w:p>
      <w:pPr>
        <w:pStyle w:val="Normal"/>
        <w:bidi w:val="0"/>
        <w:spacing w:before="120" w:after="280"/>
        <w:rPr/>
      </w:pPr>
      <w:r>
        <w:rPr/>
        <w:t>- Bà Đặng Hoàng Oanh, Thứ trưởng Bộ Tư pháp;</w:t>
      </w:r>
    </w:p>
    <w:p>
      <w:pPr>
        <w:pStyle w:val="Normal"/>
        <w:bidi w:val="0"/>
        <w:spacing w:before="120" w:after="280"/>
        <w:rPr/>
      </w:pPr>
      <w:r>
        <w:rPr/>
        <w:t>- Bà Trịnh Thị Thủy, Thứ trưởng Bộ Văn hóa, Thể thao và Du lịch;</w:t>
      </w:r>
    </w:p>
    <w:p>
      <w:pPr>
        <w:pStyle w:val="Normal"/>
        <w:bidi w:val="0"/>
        <w:spacing w:before="120" w:after="280"/>
        <w:rPr/>
      </w:pPr>
      <w:r>
        <w:rPr/>
        <w:t>- Ông Y Vinh Tơr, Thứ trưởng Bộ Dân tộc và Tôn giáo;</w:t>
      </w:r>
    </w:p>
    <w:p>
      <w:pPr>
        <w:pStyle w:val="Normal"/>
        <w:bidi w:val="0"/>
        <w:spacing w:before="120" w:after="280"/>
        <w:rPr/>
      </w:pPr>
      <w:r>
        <w:rPr/>
        <w:t>- Ông Đỗ Ngọc Huỳnh, Phó Chủ nhiệm Văn phòng Chính phủ;</w:t>
      </w:r>
    </w:p>
    <w:p>
      <w:pPr>
        <w:pStyle w:val="Normal"/>
        <w:bidi w:val="0"/>
        <w:spacing w:before="120" w:after="280"/>
        <w:rPr/>
      </w:pPr>
      <w:r>
        <w:rPr/>
        <w:t>- Ông Nguyễn Văn Tiến, Phó Chánh án Tòa án nhân dân tối cao;</w:t>
      </w:r>
    </w:p>
    <w:p>
      <w:pPr>
        <w:pStyle w:val="Normal"/>
        <w:bidi w:val="0"/>
        <w:spacing w:before="120" w:after="280"/>
        <w:rPr/>
      </w:pPr>
      <w:r>
        <w:rPr/>
        <w:t>- Ông Nguyễn Quang Dũng, Phó Viện trưởng Viện kiểm sát nhân dân tối cao;</w:t>
      </w:r>
    </w:p>
    <w:p>
      <w:pPr>
        <w:pStyle w:val="Normal"/>
        <w:bidi w:val="0"/>
        <w:spacing w:before="120" w:after="280"/>
        <w:rPr/>
      </w:pPr>
      <w:r>
        <w:rPr/>
        <w:t>- Ông Đỗ Thanh Hải, Phó Tổng giám đốc Đài Truyền hình Việt Nam;</w:t>
      </w:r>
    </w:p>
    <w:p>
      <w:pPr>
        <w:pStyle w:val="Normal"/>
        <w:bidi w:val="0"/>
        <w:spacing w:before="120" w:after="280"/>
        <w:rPr/>
      </w:pPr>
      <w:r>
        <w:rPr/>
        <w:t>- Ông Phạm Mạnh Hùng, Phó Tổng giám đốc Đài Tiếng nói Việt Nam;</w:t>
      </w:r>
    </w:p>
    <w:p>
      <w:pPr>
        <w:pStyle w:val="Normal"/>
        <w:bidi w:val="0"/>
        <w:spacing w:before="120" w:after="280"/>
        <w:rPr/>
      </w:pPr>
      <w:r>
        <w:rPr/>
        <w:t>- Đại diện Lãnh đạo Ủy ban Trung ương Mặt trận Tổ quốc Việt Nam;</w:t>
      </w:r>
    </w:p>
    <w:p>
      <w:pPr>
        <w:pStyle w:val="Normal"/>
        <w:bidi w:val="0"/>
        <w:spacing w:before="120" w:after="280"/>
        <w:rPr/>
      </w:pPr>
      <w:r>
        <w:rPr/>
        <w:t>- Bà Thái Thu Xương, Phó Chủ tịch Thường trực Tổng Liên đoàn Lao động Việt Nam;</w:t>
      </w:r>
    </w:p>
    <w:p>
      <w:pPr>
        <w:pStyle w:val="Normal"/>
        <w:bidi w:val="0"/>
        <w:spacing w:before="120" w:after="280"/>
        <w:rPr/>
      </w:pPr>
      <w:r>
        <w:rPr/>
        <w:t>- Bà Nguyễn Thị Thu Hiền, Phó Chủ tịch Hội Liên hiệp Phụ nữ Việt Nam;</w:t>
      </w:r>
    </w:p>
    <w:p>
      <w:pPr>
        <w:pStyle w:val="Normal"/>
        <w:bidi w:val="0"/>
        <w:spacing w:before="120" w:after="280"/>
        <w:rPr/>
      </w:pPr>
      <w:r>
        <w:rPr/>
        <w:t>- Bà Nguyễn Phạm Duy Trang, Bí thư Trung ương Đoàn Thanh niên Cộng sản Hồ Chí Minh;</w:t>
      </w:r>
    </w:p>
    <w:p>
      <w:pPr>
        <w:pStyle w:val="Normal"/>
        <w:bidi w:val="0"/>
        <w:spacing w:before="120" w:after="280"/>
        <w:rPr/>
      </w:pPr>
      <w:r>
        <w:rPr/>
        <w:t>- Bà Nguyễn Thị Thanh Hòa, Chủ tịch Hội Bảo vệ quyền trẻ em Việt Nam.</w:t>
      </w:r>
    </w:p>
    <w:p>
      <w:pPr>
        <w:pStyle w:val="Normal"/>
        <w:bidi w:val="0"/>
        <w:spacing w:before="120" w:after="280"/>
        <w:rPr/>
      </w:pPr>
      <w:r>
        <w:rPr/>
        <w:t>4. Các Bộ, ngành, tổ chức có trách nhiệm cử đại diện lãnh đạo làm thành viên Ủy ban và gửi cơ quan thường trực để tổng hợp, báo cáo Chủ tịch Ủy ban quyết định.</w:t>
      </w:r>
    </w:p>
    <w:p>
      <w:pPr>
        <w:pStyle w:val="Normal"/>
        <w:bidi w:val="0"/>
        <w:spacing w:before="120" w:after="280"/>
        <w:rPr/>
      </w:pPr>
      <w:bookmarkStart w:id="3" w:name="dieu_2"/>
      <w:r>
        <w:rPr>
          <w:b/>
          <w:bCs/>
        </w:rPr>
        <w:t xml:space="preserve">Điều 2. </w:t>
      </w:r>
      <w:r>
        <w:rPr/>
        <w:t>Chức năng của Ủy ban</w:t>
      </w:r>
      <w:bookmarkEnd w:id="3"/>
    </w:p>
    <w:p>
      <w:pPr>
        <w:pStyle w:val="Normal"/>
        <w:bidi w:val="0"/>
        <w:spacing w:before="120" w:after="280"/>
        <w:rPr/>
      </w:pPr>
      <w:r>
        <w:rPr/>
        <w:t>Giúp Thủ tướng Chính phủ nghiên cứu, chỉ đạo, phối hợp giải quyết những công việc quan trọng, liên ngành trong thực hiện quyền trẻ em, giải quyết các vấn đề về trẻ em.</w:t>
      </w:r>
    </w:p>
    <w:p>
      <w:pPr>
        <w:pStyle w:val="Normal"/>
        <w:bidi w:val="0"/>
        <w:spacing w:before="120" w:after="280"/>
        <w:rPr/>
      </w:pPr>
      <w:bookmarkStart w:id="4" w:name="dieu_3"/>
      <w:r>
        <w:rPr>
          <w:b/>
          <w:bCs/>
        </w:rPr>
        <w:t xml:space="preserve">Điều 3. </w:t>
      </w:r>
      <w:r>
        <w:rPr/>
        <w:t>Nhiệm vụ, quyền hạn của Ủy ban</w:t>
      </w:r>
      <w:bookmarkEnd w:id="4"/>
    </w:p>
    <w:p>
      <w:pPr>
        <w:pStyle w:val="Normal"/>
        <w:bidi w:val="0"/>
        <w:spacing w:before="120" w:after="280"/>
        <w:rPr/>
      </w:pPr>
      <w:r>
        <w:rPr/>
        <w:t>1. Nghiên cứu, tư vấn, khuyến nghị, đề xuất với Thủ tướng Chính phủ phương hướng, giải pháp để giải quyết những vấn đề quan trọng, liên ngành trong thực hiện quyền trẻ em, giải quyết các vấn đề về trẻ em.</w:t>
      </w:r>
    </w:p>
    <w:p>
      <w:pPr>
        <w:pStyle w:val="Normal"/>
        <w:bidi w:val="0"/>
        <w:spacing w:before="120" w:after="280"/>
        <w:rPr/>
      </w:pPr>
      <w:r>
        <w:rPr/>
        <w:t>2. Giúp Thủ tướng Chính phủ chỉ đạo, phối hợp giữa các bộ, cơ quan ngang bộ, Tòa án nhân dân tối cao, Viện kiểm sát nhân dân tối cao, Mặt trận Tổ quốc Việt Nam và các tổ chức thành viên của Mặt trận, các tổ chức xã hội, tổ chức xã hội - nghề nghiệp trong việc thực hiện quyền trẻ em và giải quyết các vấn đề về trẻ em.</w:t>
      </w:r>
    </w:p>
    <w:p>
      <w:pPr>
        <w:pStyle w:val="Normal"/>
        <w:bidi w:val="0"/>
        <w:spacing w:before="120" w:after="280"/>
        <w:rPr/>
      </w:pPr>
      <w:bookmarkStart w:id="5" w:name="dieu_4"/>
      <w:r>
        <w:rPr>
          <w:b/>
          <w:bCs/>
        </w:rPr>
        <w:t xml:space="preserve">Điều 4. </w:t>
      </w:r>
      <w:r>
        <w:rPr/>
        <w:t>Tổ chức và hoạt động của Ủy ban</w:t>
      </w:r>
      <w:bookmarkEnd w:id="5"/>
    </w:p>
    <w:p>
      <w:pPr>
        <w:pStyle w:val="Normal"/>
        <w:bidi w:val="0"/>
        <w:spacing w:before="120" w:after="280"/>
        <w:rPr/>
      </w:pPr>
      <w:r>
        <w:rPr/>
        <w:t>1. Các thành viên Ủy ban làm việc theo chế độ kiêm nhiệm và đề cao trách nhiệm cá nhân của người đứng đầu, theo nguyên tắc tập trung, dân chủ, thảo luận công khai, bảo đảm sự chỉ đạo thống nhất.</w:t>
      </w:r>
    </w:p>
    <w:p>
      <w:pPr>
        <w:pStyle w:val="Normal"/>
        <w:bidi w:val="0"/>
        <w:spacing w:before="120" w:after="280"/>
        <w:rPr/>
      </w:pPr>
      <w:r>
        <w:rPr/>
        <w:t>2. Chủ tịch Ủy ban ban hành Quy chế tổ chức và hoạt động của Ủy ban.</w:t>
      </w:r>
    </w:p>
    <w:p>
      <w:pPr>
        <w:pStyle w:val="Normal"/>
        <w:bidi w:val="0"/>
        <w:spacing w:before="120" w:after="280"/>
        <w:rPr/>
      </w:pPr>
      <w:r>
        <w:rPr/>
        <w:t>3. Bộ Y tế là cơ quan thường trực của Ủy ban, có trách nhiệm bảo đảm các điều kiện hoạt động, sử dụng bộ máy của mình để thực hiện các nhiệm vụ giúp việc cho Ủy ban, bảo đảm không làm tăng đầu mối tổ chức và không thêm biên chế.</w:t>
      </w:r>
    </w:p>
    <w:p>
      <w:pPr>
        <w:pStyle w:val="Normal"/>
        <w:bidi w:val="0"/>
        <w:spacing w:before="120" w:after="280"/>
        <w:rPr/>
      </w:pPr>
      <w:bookmarkStart w:id="6" w:name="dieu_5"/>
      <w:r>
        <w:rPr>
          <w:b/>
          <w:bCs/>
        </w:rPr>
        <w:t xml:space="preserve">Điều 5. </w:t>
      </w:r>
      <w:r>
        <w:rPr/>
        <w:t>Chế độ thông tin, báo cáo</w:t>
      </w:r>
      <w:bookmarkEnd w:id="6"/>
    </w:p>
    <w:p>
      <w:pPr>
        <w:pStyle w:val="Normal"/>
        <w:bidi w:val="0"/>
        <w:spacing w:before="120" w:after="280"/>
        <w:rPr/>
      </w:pPr>
      <w:r>
        <w:rPr/>
        <w:t>1. Ủy ban có trách nhiệm báo cáo định kỳ theo Quy chế tổ chức và hoạt động, báo cáo đột xuất theo yêu cầu của Thủ tướng Chính phủ.</w:t>
      </w:r>
    </w:p>
    <w:p>
      <w:pPr>
        <w:pStyle w:val="Normal"/>
        <w:bidi w:val="0"/>
        <w:spacing w:before="120" w:after="280"/>
        <w:rPr/>
      </w:pPr>
      <w:r>
        <w:rPr/>
        <w:t>2. Định kỳ trước ngày 31 tháng 12 hằng năm, Bộ Y tế báo cáo tình hình hoạt động của Ủy ban gửi Bộ Nội vụ và Văn phòng Chính phủ để tổng hợp, báo cáo Thủ tướng Chính phủ.</w:t>
      </w:r>
    </w:p>
    <w:p>
      <w:pPr>
        <w:pStyle w:val="Normal"/>
        <w:bidi w:val="0"/>
        <w:spacing w:before="120" w:after="280"/>
        <w:rPr/>
      </w:pPr>
      <w:bookmarkStart w:id="7" w:name="dieu_6"/>
      <w:r>
        <w:rPr>
          <w:b/>
          <w:bCs/>
        </w:rPr>
        <w:t xml:space="preserve">Điều 6. </w:t>
      </w:r>
      <w:r>
        <w:rPr/>
        <w:t>Kinh phí hoạt động</w:t>
      </w:r>
      <w:bookmarkEnd w:id="7"/>
    </w:p>
    <w:p>
      <w:pPr>
        <w:pStyle w:val="Normal"/>
        <w:bidi w:val="0"/>
        <w:spacing w:before="120" w:after="280"/>
        <w:rPr/>
      </w:pPr>
      <w:r>
        <w:rPr/>
        <w:t>Kinh phí hoạt động của Ủy ban do ngân sách nhà nước bảo đảm và được bố trí trong kinh phí hoạt động thường xuyên của Bộ Y tế và các nguồn kinh phí hợp pháp khác (nếu có).</w:t>
      </w:r>
    </w:p>
    <w:p>
      <w:pPr>
        <w:pStyle w:val="Normal"/>
        <w:bidi w:val="0"/>
        <w:spacing w:before="120" w:after="280"/>
        <w:rPr/>
      </w:pPr>
      <w:bookmarkStart w:id="8" w:name="dieu_7"/>
      <w:r>
        <w:rPr>
          <w:b/>
          <w:bCs/>
        </w:rPr>
        <w:t xml:space="preserve">Điều 7. </w:t>
      </w:r>
      <w:r>
        <w:rPr/>
        <w:t>Hiệu lực và trách nhiệm thi hành</w:t>
      </w:r>
      <w:bookmarkEnd w:id="8"/>
    </w:p>
    <w:p>
      <w:pPr>
        <w:pStyle w:val="Normal"/>
        <w:bidi w:val="0"/>
        <w:spacing w:before="120" w:after="280"/>
        <w:rPr/>
      </w:pPr>
      <w:r>
        <w:rPr/>
        <w:t>1. Quyết định này có hiệu lực thi hành kể từ ngày ký ban hành và thay thế các Quyết định: số 856/QĐ-TTg ngày 15 tháng 6 năm 2017 của Thủ tướng Chính phủ về việc thành lập Ủy ban Quốc gia về trẻ em; số 1080/QĐ-TTg ngày 15 tháng 9 năm 2023 của Thủ tướng Chính phủ về việc phê duyệt danh sách thành viên Ủy ban Quốc gia về Trẻ em.</w:t>
      </w:r>
    </w:p>
    <w:p>
      <w:pPr>
        <w:pStyle w:val="Normal"/>
        <w:bidi w:val="0"/>
        <w:spacing w:before="120" w:after="280"/>
        <w:rPr/>
      </w:pPr>
      <w:r>
        <w:rPr/>
        <w:t>2. Các Bộ trưởng, Thủ trưởng cơ quan ngang bộ, Thủ trưởng cơ quan thuộc Chính phủ và các thành viên quy định tại Điều 1 chịu trách nhiệm thi hành Quyết định này./.</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Ban Bí thư Trung ương Đảng;</w:t>
              <w:br/>
              <w:t>- Thủ tướng Chính phủ,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Văn phòng Quốc hội;</w:t>
              <w:br/>
              <w:t>- Hội đồng Dân tộc và các Ủy ban của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Hội Bảo vệ quyền trẻ em Việt Nam;</w:t>
              <w:br/>
              <w:t>- Các thành viên Ủy ban;</w:t>
              <w:br/>
              <w:t>- VPCP: BTCN, các PCN, Trợ lý TTg, TGĐ Cổng TTĐT,</w:t>
              <w:br/>
              <w:t>các Vụ, Cục, đơn vị trực thuộc, Công báo;</w:t>
              <w:br/>
              <w:t>- Lưu: VT, KGVX (2).</w:t>
            </w:r>
          </w:p>
        </w:tc>
        <w:tc>
          <w:tcPr>
            <w:tcW w:w="4986" w:type="dxa"/>
            <w:tcBorders/>
          </w:tcPr>
          <w:p>
            <w:pPr>
              <w:pStyle w:val="Normal"/>
              <w:bidi w:val="0"/>
              <w:spacing w:before="120" w:after="0"/>
              <w:jc w:val="center"/>
              <w:rPr/>
            </w:pPr>
            <w:r>
              <w:rPr>
                <w:b/>
                <w:bCs/>
              </w:rPr>
              <w:t>THỦ TƯỚNG</w:t>
            </w:r>
            <w:r>
              <w:rPr/>
              <w:br/>
              <w:br/>
              <w:br/>
              <w:br/>
              <w:br/>
            </w:r>
            <w:r>
              <w:rPr>
                <w:b/>
                <w:bCs/>
              </w:rPr>
              <w:t>Phạm Minh Chính</w:t>
            </w:r>
          </w:p>
        </w:tc>
      </w:tr>
    </w:tbl>
    <w:p>
      <w:pPr>
        <w:pStyle w:val="Normal"/>
        <w:bidi w:val="0"/>
        <w:spacing w:before="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