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57"/>
        <w:gridCol w:w="6115"/>
      </w:tblGrid>
      <w:tr>
        <w:trPr/>
        <w:tc>
          <w:tcPr>
            <w:tcW w:w="3857" w:type="dxa"/>
            <w:tcBorders/>
          </w:tcPr>
          <w:p>
            <w:pPr>
              <w:pStyle w:val="Normal"/>
              <w:bidi w:val="0"/>
              <w:spacing w:before="120" w:after="0"/>
              <w:jc w:val="center"/>
              <w:rPr/>
            </w:pPr>
            <w:r>
              <w:rPr>
                <w:b/>
                <w:bCs/>
                <w:color w:val="000000"/>
              </w:rPr>
              <w:t>CHÍNH PHỦ</w:t>
            </w:r>
            <w:r>
              <w:rPr>
                <w:b/>
                <w:bCs/>
              </w:rPr>
              <w:br/>
              <w:t>-------</w:t>
            </w:r>
          </w:p>
        </w:tc>
        <w:tc>
          <w:tcPr>
            <w:tcW w:w="611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57" w:type="dxa"/>
            <w:tcBorders/>
          </w:tcPr>
          <w:p>
            <w:pPr>
              <w:pStyle w:val="Normal"/>
              <w:bidi w:val="0"/>
              <w:spacing w:before="120" w:after="0"/>
              <w:jc w:val="center"/>
              <w:rPr/>
            </w:pPr>
            <w:r>
              <w:rPr>
                <w:color w:val="000000"/>
              </w:rPr>
              <w:t>Số: 42/NQ-CP</w:t>
            </w:r>
          </w:p>
        </w:tc>
        <w:tc>
          <w:tcPr>
            <w:tcW w:w="6115" w:type="dxa"/>
            <w:tcBorders/>
          </w:tcPr>
          <w:p>
            <w:pPr>
              <w:pStyle w:val="Normal"/>
              <w:bidi w:val="0"/>
              <w:spacing w:before="120" w:after="0"/>
              <w:jc w:val="end"/>
              <w:rPr/>
            </w:pPr>
            <w:r>
              <w:rPr>
                <w:i/>
                <w:iCs/>
                <w:color w:val="000000"/>
              </w:rPr>
              <w:t>Hà Nội, ngày 11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QUYẾT</w:t>
      </w:r>
      <w:bookmarkEnd w:id="0"/>
    </w:p>
    <w:p>
      <w:pPr>
        <w:pStyle w:val="Normal"/>
        <w:bidi w:val="0"/>
        <w:spacing w:before="120" w:after="280"/>
        <w:jc w:val="center"/>
        <w:rPr>
          <w:color w:val="000000"/>
        </w:rPr>
      </w:pPr>
      <w:bookmarkStart w:id="1" w:name="loai_1_name"/>
      <w:r>
        <w:rPr>
          <w:color w:val="000000"/>
        </w:rPr>
        <w:t>TRIỂN KHAI NGHỊ QUYẾT SỐ 255/2025/QH15 NGÀY 11 THÁNG 12 NĂM 2025 CỦA QUỐC HỘI VỀ CHỦ TRƯƠNG ĐẦU TƯ DỰ ÁN ĐẦU TƯ XÂY DỰNG ĐƯỜNG BỘ CAO TỐC VINH - THANH THỦY</w:t>
      </w:r>
      <w:bookmarkEnd w:id="1"/>
    </w:p>
    <w:p>
      <w:pPr>
        <w:pStyle w:val="Normal"/>
        <w:bidi w:val="0"/>
        <w:spacing w:before="120" w:after="280"/>
        <w:jc w:val="center"/>
        <w:rPr>
          <w:b/>
          <w:bCs/>
          <w:sz w:val="24"/>
        </w:rPr>
      </w:pPr>
      <w:r>
        <w:rPr>
          <w:b/>
          <w:bCs/>
          <w:sz w:val="24"/>
        </w:rPr>
        <w:t>CHÍNH PHỦ</w:t>
      </w:r>
    </w:p>
    <w:p>
      <w:pPr>
        <w:pStyle w:val="Normal"/>
        <w:bidi w:val="0"/>
        <w:spacing w:before="120" w:after="280"/>
        <w:rPr>
          <w:i/>
          <w:iCs/>
          <w:color w:val="000000"/>
        </w:rPr>
      </w:pPr>
      <w:r>
        <w:rPr>
          <w:i/>
          <w:iCs/>
          <w:color w:val="000000"/>
        </w:rPr>
        <w:t>Căn cứ Luật Tổ chức Chính phủ ngày 18 tháng 02 năm 2025;</w:t>
      </w:r>
    </w:p>
    <w:p>
      <w:pPr>
        <w:pStyle w:val="Normal"/>
        <w:bidi w:val="0"/>
        <w:spacing w:before="120" w:after="280"/>
        <w:rPr>
          <w:i/>
          <w:iCs/>
          <w:color w:val="000000"/>
        </w:rPr>
      </w:pPr>
      <w:r>
        <w:rPr>
          <w:i/>
          <w:iCs/>
          <w:color w:val="000000"/>
        </w:rPr>
        <w:t>Căn cứ Luật Đầu tư công ngày 29 tháng 11 năm 2024;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w:t>
      </w:r>
    </w:p>
    <w:p>
      <w:pPr>
        <w:pStyle w:val="Normal"/>
        <w:bidi w:val="0"/>
        <w:spacing w:before="120" w:after="280"/>
        <w:rPr>
          <w:i/>
          <w:iCs/>
          <w:color w:val="000000"/>
        </w:rPr>
      </w:pPr>
      <w:r>
        <w:rPr>
          <w:i/>
          <w:iCs/>
          <w:color w:val="000000"/>
        </w:rPr>
        <w:t>Căn cứ Luật Đường bộ ngày 27 tháng 6 năm 2024;</w:t>
      </w:r>
    </w:p>
    <w:p>
      <w:pPr>
        <w:pStyle w:val="Normal"/>
        <w:bidi w:val="0"/>
        <w:spacing w:before="120" w:after="280"/>
        <w:rPr>
          <w:i/>
          <w:iCs/>
          <w:color w:val="000000"/>
        </w:rPr>
      </w:pPr>
      <w:r>
        <w:rPr>
          <w:i/>
          <w:iCs/>
          <w:color w:val="000000"/>
        </w:rPr>
        <w:t>Căn cứ Luật Xây dựng ngày 18 tháng 6 năm 2014; Luật sửa đổi, bổ sung một số điều của Luật Xây dựng ngày 17 tháng 6 năm 2020;</w:t>
      </w:r>
    </w:p>
    <w:p>
      <w:pPr>
        <w:pStyle w:val="Normal"/>
        <w:bidi w:val="0"/>
        <w:spacing w:before="120" w:after="280"/>
        <w:rPr>
          <w:i/>
          <w:iCs/>
          <w:color w:val="000000"/>
        </w:rPr>
      </w:pPr>
      <w:r>
        <w:rPr>
          <w:i/>
          <w:iCs/>
          <w:color w:val="000000"/>
        </w:rPr>
        <w:t>Căn cứ Nghị quyết số 176/2025/QH15 ngày 18 tháng 02 năm 2025 của Quốc hội về cơ cấu tổ chức của Chính phủ nhiệm kỳ Quốc hội khóa XV;</w:t>
      </w:r>
    </w:p>
    <w:p>
      <w:pPr>
        <w:pStyle w:val="Normal"/>
        <w:bidi w:val="0"/>
        <w:spacing w:before="120" w:after="280"/>
        <w:rPr>
          <w:i/>
          <w:iCs/>
          <w:color w:val="000000"/>
        </w:rPr>
      </w:pPr>
      <w:r>
        <w:rPr>
          <w:i/>
          <w:iCs/>
          <w:color w:val="000000"/>
        </w:rPr>
        <w:t>Căn cứ Nghị quyết số 255/2025/QH15 ngày 11 tháng 12 năm 2025 của Quốc hội về chủ trương đầu tư Dự án đầu tư xây dựng đường bộ cao tốc Vinh - Thanh Thủy;</w:t>
      </w:r>
    </w:p>
    <w:p>
      <w:pPr>
        <w:pStyle w:val="Normal"/>
        <w:bidi w:val="0"/>
        <w:spacing w:before="120" w:after="280"/>
        <w:rPr>
          <w:i/>
          <w:iCs/>
          <w:color w:val="000000"/>
        </w:rPr>
      </w:pPr>
      <w:r>
        <w:rPr>
          <w:i/>
          <w:iCs/>
          <w:color w:val="000000"/>
        </w:rPr>
        <w:t>Căn cứ Nghị định số 39/2022/NĐ-CP ngày 18 tháng 6 năm 2022 của Chính phủ ban hành Quy chế làm việc của Chính phủ;</w:t>
      </w:r>
    </w:p>
    <w:p>
      <w:pPr>
        <w:pStyle w:val="Normal"/>
        <w:bidi w:val="0"/>
        <w:spacing w:before="120" w:after="280"/>
        <w:rPr>
          <w:i/>
          <w:iCs/>
          <w:color w:val="000000"/>
        </w:rPr>
      </w:pPr>
      <w:r>
        <w:rPr>
          <w:i/>
          <w:iCs/>
          <w:color w:val="000000"/>
        </w:rPr>
        <w:t>Căn cứ Nghị định số 144/2025/NĐ-CP ngày 12 tháng 6 năm 2025 của Chính phủ quy định về phân quyền, phân cấp trong lĩnh vực quản lý nhà nước của Bộ Xây dựng;</w:t>
      </w:r>
    </w:p>
    <w:p>
      <w:pPr>
        <w:pStyle w:val="Normal"/>
        <w:bidi w:val="0"/>
        <w:spacing w:before="120" w:after="280"/>
        <w:rPr>
          <w:i/>
          <w:iCs/>
          <w:color w:val="000000"/>
        </w:rPr>
      </w:pPr>
      <w:r>
        <w:rPr>
          <w:i/>
          <w:iCs/>
          <w:color w:val="000000"/>
        </w:rPr>
        <w:t>Theo đề nghị của Bộ trưởng Bộ Xây dựng.</w:t>
      </w:r>
    </w:p>
    <w:p>
      <w:pPr>
        <w:pStyle w:val="Normal"/>
        <w:bidi w:val="0"/>
        <w:spacing w:before="120" w:after="280"/>
        <w:jc w:val="center"/>
        <w:rPr>
          <w:b/>
          <w:bCs/>
          <w:sz w:val="24"/>
        </w:rPr>
      </w:pPr>
      <w:r>
        <w:rPr>
          <w:b/>
          <w:bCs/>
          <w:sz w:val="24"/>
        </w:rPr>
        <w:t>QUYẾT NGHỊ:</w:t>
      </w:r>
    </w:p>
    <w:p>
      <w:pPr>
        <w:pStyle w:val="Normal"/>
        <w:bidi w:val="0"/>
        <w:spacing w:before="120" w:after="280"/>
        <w:rPr/>
      </w:pPr>
      <w:bookmarkStart w:id="2" w:name="dieu_1"/>
      <w:r>
        <w:rPr>
          <w:b/>
          <w:bCs/>
          <w:color w:val="000000"/>
        </w:rPr>
        <w:t xml:space="preserve">Điều 1. </w:t>
      </w:r>
      <w:r>
        <w:rPr>
          <w:color w:val="000000"/>
        </w:rPr>
        <w:t>Triển khai Dự án đầu tư xây dựng đường bộ cao tốc Vinh - Thanh Thủy (sau đây gọi tắt là Dự án) được Quốc hội quyết định chủ trương đầu tư tại Nghị quyết số 255/2025/QH15 ngày 11 tháng 12 năm 2025 bảo đảm tuân thủ quy định của pháp luật, tiến độ, chất lượng công trình, quản lý chặt chẽ và sử dụng vốn tiết kiệm, hiệu quả, công khai, minh bạch, cụ thể như sau:</w:t>
      </w:r>
      <w:bookmarkEnd w:id="2"/>
    </w:p>
    <w:p>
      <w:pPr>
        <w:pStyle w:val="Normal"/>
        <w:bidi w:val="0"/>
        <w:spacing w:before="120" w:after="280"/>
        <w:rPr>
          <w:color w:val="000000"/>
        </w:rPr>
      </w:pPr>
      <w:r>
        <w:rPr>
          <w:color w:val="000000"/>
        </w:rPr>
        <w:t>1. Trình tự, thủ tục, thẩm quyền thẩm định và quyết định đầu tư dự án</w:t>
      </w:r>
    </w:p>
    <w:p>
      <w:pPr>
        <w:pStyle w:val="Normal"/>
        <w:bidi w:val="0"/>
        <w:spacing w:before="120" w:after="280"/>
        <w:rPr>
          <w:color w:val="000000"/>
        </w:rPr>
      </w:pPr>
      <w:r>
        <w:rPr>
          <w:color w:val="000000"/>
        </w:rPr>
        <w:t>Chủ tịch Ủy ban nhân dân tỉnh Nghệ An:</w:t>
      </w:r>
    </w:p>
    <w:p>
      <w:pPr>
        <w:pStyle w:val="Normal"/>
        <w:bidi w:val="0"/>
        <w:spacing w:before="120" w:after="280"/>
        <w:rPr>
          <w:color w:val="000000"/>
        </w:rPr>
      </w:pPr>
      <w:r>
        <w:rPr>
          <w:color w:val="000000"/>
        </w:rPr>
        <w:t>- Thực hiện thẩm quyền của người quyết định đầu tư, tổ chức lập, thẩm định và phê duyệt dự án theo quy định;</w:t>
      </w:r>
    </w:p>
    <w:p>
      <w:pPr>
        <w:pStyle w:val="Normal"/>
        <w:bidi w:val="0"/>
        <w:spacing w:before="120" w:after="280"/>
        <w:rPr>
          <w:color w:val="000000"/>
        </w:rPr>
      </w:pPr>
      <w:r>
        <w:rPr>
          <w:color w:val="000000"/>
        </w:rPr>
        <w:t>- Tổ chức thẩm định, phê duyệt kết quả thẩm định báo cáo đánh giá tác động môi trường dự án theo ủy quyền của Bộ trưởng Bộ Nông nghiệp và Môi trường theo quy định của pháp luật.</w:t>
      </w:r>
    </w:p>
    <w:p>
      <w:pPr>
        <w:pStyle w:val="Normal"/>
        <w:bidi w:val="0"/>
        <w:spacing w:before="120" w:after="280"/>
        <w:rPr/>
      </w:pPr>
      <w:r>
        <w:rPr>
          <w:color w:val="000000"/>
        </w:rPr>
        <w:t>2. Đối với công tác lựa chọn nhà thầu</w:t>
      </w:r>
      <w:hyperlink w:anchor="_ftn1">
        <w:bookmarkStart w:id="3" w:name="_ftnref1"/>
        <w:bookmarkEnd w:id="3"/>
        <w:r>
          <w:rPr>
            <w:rStyle w:val="Hyperlink"/>
            <w:color w:val="0000FF"/>
            <w:u w:val="single"/>
          </w:rPr>
          <w:t>[1]</w:t>
        </w:r>
      </w:hyperlink>
      <w:r>
        <w:rPr>
          <w:color w:val="000000"/>
        </w:rPr>
        <w:t>: Chủ đầu tư được áp dụng hình thức chỉ định thầu đối với các gói thầu thuộc Dự án, các gói thầu thực hiện bồi thường, hỗ trợ, tái định cư. Trình tự, thủ tục chỉ định thầu theo quy định của pháp luật về đấu thầu.</w:t>
      </w:r>
    </w:p>
    <w:p>
      <w:pPr>
        <w:pStyle w:val="Normal"/>
        <w:bidi w:val="0"/>
        <w:spacing w:before="120" w:after="280"/>
        <w:rPr>
          <w:color w:val="000000"/>
        </w:rPr>
      </w:pPr>
      <w:r>
        <w:rPr>
          <w:color w:val="000000"/>
        </w:rPr>
        <w:t xml:space="preserve">3. Về bãi đổ chất thải rắn xây dựng và tầng đất mặt của đất chuyên trồng lúa nước: áp dụng theo quy định tại </w:t>
      </w:r>
      <w:bookmarkStart w:id="4" w:name="dc_1"/>
      <w:r>
        <w:rPr>
          <w:color w:val="000000"/>
        </w:rPr>
        <w:t>khoản 3 Điều 3 Nghị quyết số 255/2025/QH15</w:t>
      </w:r>
      <w:bookmarkEnd w:id="4"/>
      <w:r>
        <w:rPr>
          <w:color w:val="000000"/>
        </w:rPr>
        <w:t xml:space="preserve"> của Quốc hội.</w:t>
      </w:r>
    </w:p>
    <w:p>
      <w:pPr>
        <w:pStyle w:val="Normal"/>
        <w:bidi w:val="0"/>
        <w:spacing w:before="120" w:after="280"/>
        <w:rPr>
          <w:color w:val="000000"/>
        </w:rPr>
      </w:pPr>
      <w:r>
        <w:rPr>
          <w:color w:val="000000"/>
        </w:rPr>
        <w:t>4. Một số nhiệm vụ cụ thể của các bộ, ngành và địa phương</w:t>
      </w:r>
    </w:p>
    <w:p>
      <w:pPr>
        <w:pStyle w:val="Normal"/>
        <w:bidi w:val="0"/>
        <w:spacing w:before="120" w:after="280"/>
        <w:rPr>
          <w:color w:val="000000"/>
        </w:rPr>
      </w:pPr>
      <w:r>
        <w:rPr>
          <w:color w:val="000000"/>
        </w:rPr>
        <w:t>a) Bộ Tài chính</w:t>
      </w:r>
    </w:p>
    <w:p>
      <w:pPr>
        <w:pStyle w:val="Normal"/>
        <w:bidi w:val="0"/>
        <w:spacing w:before="120" w:after="280"/>
        <w:rPr>
          <w:color w:val="000000"/>
        </w:rPr>
      </w:pPr>
      <w:r>
        <w:rPr>
          <w:color w:val="000000"/>
        </w:rPr>
        <w:t xml:space="preserve">- Chủ trì, phối hợp với địa phương tham mưu Chính phủ cân đối bố trí đủ nguồn vốn trung ương theo quy định tại </w:t>
      </w:r>
      <w:bookmarkStart w:id="5" w:name="dc_2"/>
      <w:r>
        <w:rPr>
          <w:color w:val="000000"/>
        </w:rPr>
        <w:t>điểm b khoản 5 Điều 2 Nghị quyết số 255/2025/QH15</w:t>
      </w:r>
      <w:bookmarkEnd w:id="5"/>
      <w:r>
        <w:rPr>
          <w:color w:val="000000"/>
        </w:rPr>
        <w:t xml:space="preserve"> của Quốc hội.</w:t>
      </w:r>
    </w:p>
    <w:p>
      <w:pPr>
        <w:pStyle w:val="Normal"/>
        <w:bidi w:val="0"/>
        <w:spacing w:before="120" w:after="280"/>
        <w:rPr>
          <w:color w:val="000000"/>
        </w:rPr>
      </w:pPr>
      <w:r>
        <w:rPr>
          <w:color w:val="000000"/>
        </w:rPr>
        <w:t>- Hướng dẫn, giải quyết theo thẩm quyền hoặc tham mưu cho Chính phủ, Thủ tướng Chính phủ tháo gỡ những khó khăn vướng mắc (nếu có) liên quan đến công tác lựa chọn nhà thầu thực hiện Dự án.</w:t>
      </w:r>
    </w:p>
    <w:p>
      <w:pPr>
        <w:pStyle w:val="Normal"/>
        <w:bidi w:val="0"/>
        <w:spacing w:before="120" w:after="280"/>
        <w:rPr>
          <w:color w:val="000000"/>
        </w:rPr>
      </w:pPr>
      <w:r>
        <w:rPr>
          <w:color w:val="000000"/>
        </w:rPr>
        <w:t>- Phối hợp với Bộ Xây dựng, xây dựng phương án thu hồi vốn đầu tư Dự án hoàn trả ngân sách trung ương và ngân sách địa phương tham gia đầu tư Dự án bảo đảm tính chính xác của số liệu liên quan đến Dự án.</w:t>
      </w:r>
    </w:p>
    <w:p>
      <w:pPr>
        <w:pStyle w:val="Normal"/>
        <w:bidi w:val="0"/>
        <w:spacing w:before="120" w:after="280"/>
        <w:rPr>
          <w:color w:val="000000"/>
        </w:rPr>
      </w:pPr>
      <w:r>
        <w:rPr>
          <w:color w:val="000000"/>
        </w:rPr>
        <w:t>b) Bộ Nông nghiệp và Môi trường</w:t>
      </w:r>
    </w:p>
    <w:p>
      <w:pPr>
        <w:pStyle w:val="Normal"/>
        <w:bidi w:val="0"/>
        <w:spacing w:before="120" w:after="280"/>
        <w:rPr>
          <w:color w:val="000000"/>
        </w:rPr>
      </w:pPr>
      <w:r>
        <w:rPr>
          <w:color w:val="000000"/>
        </w:rPr>
        <w:t>Ủy quyền cho Chủ tịch Ủy ban nhân dân tỉnh Nghệ An tổ chức thẩm định, phê duyệt kết quả thẩm định báo cáo đánh giá tác động môi trường, cấp giấy phép môi trường đối với dự án, dự án thành phần theo quy định của pháp luật, đáp ứng tiến độ yêu cầu của Dự án.</w:t>
      </w:r>
    </w:p>
    <w:p>
      <w:pPr>
        <w:pStyle w:val="Normal"/>
        <w:bidi w:val="0"/>
        <w:spacing w:before="120" w:after="280"/>
        <w:rPr>
          <w:color w:val="000000"/>
        </w:rPr>
      </w:pPr>
      <w:r>
        <w:rPr>
          <w:color w:val="000000"/>
        </w:rPr>
        <w:t>c) Bộ Xây dựng</w:t>
      </w:r>
    </w:p>
    <w:p>
      <w:pPr>
        <w:pStyle w:val="Normal"/>
        <w:bidi w:val="0"/>
        <w:spacing w:before="120" w:after="280"/>
        <w:rPr>
          <w:color w:val="000000"/>
        </w:rPr>
      </w:pPr>
      <w:r>
        <w:rPr>
          <w:color w:val="000000"/>
        </w:rPr>
        <w:t>- Chủ trì, phối hợp với Bộ Tài chính, các bộ, ngành và địa phương liên quan xây dựng phương án thu hồi vốn đầu tư Dự án hoàn trả ngân sách trung ương và ngân sách địa phương tham gia đầu tư Dự án bảo đảm tính chính xác của số liệu liên quan đến Dự án.</w:t>
      </w:r>
    </w:p>
    <w:p>
      <w:pPr>
        <w:pStyle w:val="Normal"/>
        <w:bidi w:val="0"/>
        <w:spacing w:before="120" w:after="280"/>
        <w:rPr>
          <w:color w:val="000000"/>
        </w:rPr>
      </w:pPr>
      <w:r>
        <w:rPr>
          <w:color w:val="000000"/>
        </w:rPr>
        <w:t xml:space="preserve">- Thực hiện đầy đủ trách nhiệm của Bộ quản lý công trình xây dựng chuyên ngành theo quy định tại </w:t>
      </w:r>
      <w:bookmarkStart w:id="6" w:name="dc_3"/>
      <w:r>
        <w:rPr>
          <w:color w:val="000000"/>
        </w:rPr>
        <w:t>Điều 163 Luật Xây dựng</w:t>
      </w:r>
      <w:bookmarkEnd w:id="6"/>
      <w:r>
        <w:rPr>
          <w:color w:val="000000"/>
        </w:rPr>
        <w:t xml:space="preserve"> và các Nghị định, Thông tư hướng dẫn;</w:t>
      </w:r>
    </w:p>
    <w:p>
      <w:pPr>
        <w:pStyle w:val="Normal"/>
        <w:bidi w:val="0"/>
        <w:spacing w:before="120" w:after="280"/>
        <w:rPr>
          <w:color w:val="000000"/>
        </w:rPr>
      </w:pPr>
      <w:r>
        <w:rPr>
          <w:color w:val="000000"/>
        </w:rPr>
        <w:t>- Chủ trì, phối hợp với Bộ Tài chính, các bộ, ngành và địa phương liên quan quy định việc tổ chức bảo trì, quản lý sử dụng, khai thác công trình sau khi địa phương hoàn thành theo thẩm quyền;</w:t>
      </w:r>
    </w:p>
    <w:p>
      <w:pPr>
        <w:pStyle w:val="Normal"/>
        <w:bidi w:val="0"/>
        <w:spacing w:before="120" w:after="280"/>
        <w:rPr>
          <w:color w:val="000000"/>
        </w:rPr>
      </w:pPr>
      <w:r>
        <w:rPr>
          <w:color w:val="000000"/>
        </w:rPr>
        <w:t>d) Bộ Quốc phòng</w:t>
      </w:r>
    </w:p>
    <w:p>
      <w:pPr>
        <w:pStyle w:val="Normal"/>
        <w:bidi w:val="0"/>
        <w:spacing w:before="120" w:after="280"/>
        <w:rPr>
          <w:color w:val="000000"/>
        </w:rPr>
      </w:pPr>
      <w:r>
        <w:rPr>
          <w:color w:val="000000"/>
        </w:rPr>
        <w:t>Chỉ đạo các đơn vị trực thuộc sớm thỏa thuận các nội dung và thực hiện công tác giải phóng mặt bằng các khu vực liên quan đến đất quốc phòng bảo đảm tiến độ Dự án và phối hợp với chủ đầu tư các dự án thành phần khẩn trương thực hiện công tác rà, phá bom, mìn, vật nổ đảm bảo tiến độ bàn giao mặt bằng cho nhà thầu thi công xây dựng.</w:t>
      </w:r>
    </w:p>
    <w:p>
      <w:pPr>
        <w:pStyle w:val="Normal"/>
        <w:bidi w:val="0"/>
        <w:spacing w:before="120" w:after="280"/>
        <w:rPr>
          <w:color w:val="000000"/>
        </w:rPr>
      </w:pPr>
      <w:r>
        <w:rPr>
          <w:color w:val="000000"/>
        </w:rPr>
        <w:t>đ) Bộ Công an</w:t>
      </w:r>
    </w:p>
    <w:p>
      <w:pPr>
        <w:pStyle w:val="Normal"/>
        <w:bidi w:val="0"/>
        <w:spacing w:before="120" w:after="280"/>
        <w:rPr>
          <w:color w:val="000000"/>
        </w:rPr>
      </w:pPr>
      <w:r>
        <w:rPr>
          <w:color w:val="000000"/>
        </w:rPr>
        <w:t>Chỉ đạo các đơn vị trực thuộc sớm thẩm duyệt các công trình có yêu cầu về phòng cháy chữa cháy; chỉ đạo các cơ quan, đơn vị liên quan phối hợp với địa phương trong công tác giải phóng mặt bằng, đảm bảo an ninh, trật tự và phối hợp, hỗ trợ địa phương trong suốt quá trình thực hiện Dự án, thi công xây dựng.</w:t>
      </w:r>
    </w:p>
    <w:p>
      <w:pPr>
        <w:pStyle w:val="Normal"/>
        <w:bidi w:val="0"/>
        <w:spacing w:before="120" w:after="280"/>
        <w:rPr>
          <w:color w:val="000000"/>
        </w:rPr>
      </w:pPr>
      <w:r>
        <w:rPr>
          <w:color w:val="000000"/>
        </w:rPr>
        <w:t>e) Bộ Tài chính, Bộ Quốc phòng</w:t>
      </w:r>
    </w:p>
    <w:p>
      <w:pPr>
        <w:pStyle w:val="Normal"/>
        <w:bidi w:val="0"/>
        <w:spacing w:before="120" w:after="280"/>
        <w:rPr>
          <w:color w:val="000000"/>
        </w:rPr>
      </w:pPr>
      <w:r>
        <w:rPr>
          <w:color w:val="000000"/>
        </w:rPr>
        <w:t>Chỉ đạo các đơn vị trực thuộc, các Tập đoàn, Tổng công ty (EVN, VNPT, Viettel,...) khẩn trương di dời công trình hạ tầng kỹ thuật do mình quản lý đảm bảo tiến độ bàn giao mặt bằng cho nhà thầu thi công xây dựng.</w:t>
      </w:r>
    </w:p>
    <w:p>
      <w:pPr>
        <w:pStyle w:val="Normal"/>
        <w:bidi w:val="0"/>
        <w:spacing w:before="120" w:after="280"/>
        <w:rPr>
          <w:color w:val="000000"/>
        </w:rPr>
      </w:pPr>
      <w:r>
        <w:rPr>
          <w:color w:val="000000"/>
        </w:rPr>
        <w:t>g) Tập đoàn Điện lực Việt Nam</w:t>
      </w:r>
    </w:p>
    <w:p>
      <w:pPr>
        <w:pStyle w:val="Normal"/>
        <w:bidi w:val="0"/>
        <w:spacing w:before="120" w:after="280"/>
        <w:rPr>
          <w:color w:val="000000"/>
        </w:rPr>
      </w:pPr>
      <w:r>
        <w:rPr>
          <w:color w:val="000000"/>
        </w:rPr>
        <w:t>Phối hợp với chủ đầu tư dự án trong quá trình thực hiện công tác di dời công trình điện có điện áp từ 110 KV trở lên và các công trình điện liên quan, đảm bảo các mốc tiến độ Dự án theo Phụ lục tiến độ tổng thể thực hiện các công việc kèm theo Nghị quyết này.</w:t>
      </w:r>
    </w:p>
    <w:p>
      <w:pPr>
        <w:pStyle w:val="Normal"/>
        <w:bidi w:val="0"/>
        <w:spacing w:before="120" w:after="280"/>
        <w:rPr>
          <w:color w:val="000000"/>
        </w:rPr>
      </w:pPr>
      <w:r>
        <w:rPr>
          <w:color w:val="000000"/>
        </w:rPr>
        <w:t>h) Ủy ban nhân dân tỉnh Nghệ An</w:t>
      </w:r>
    </w:p>
    <w:p>
      <w:pPr>
        <w:pStyle w:val="Normal"/>
        <w:bidi w:val="0"/>
        <w:spacing w:before="120" w:after="280"/>
        <w:rPr>
          <w:color w:val="000000"/>
        </w:rPr>
      </w:pPr>
      <w:r>
        <w:rPr>
          <w:color w:val="000000"/>
        </w:rPr>
        <w:t>- Chịu trách nhiệm toàn diện về tiến độ, chất lượng, hiệu quả công trình đối với các dự án thành phần; tuyệt đối không để xảy ra tiêu cực, lãng phí gây thất thoát tài sản nhà nước. Trong quá trình tổ chức lập, thẩm định và phê duyệt dự án, tiếp tục nghiên cứu rút ngắn thời gian thực hiện và rà soát sơ bộ tổng mức đầu tư đã được Quốc hội thông qua tại Nghị quyết số 255/2025/QH15, bảo đảm phù hợp với quy mô, phạm vi đầu tư, điều kiện thực tế, tương tự các dự án đường bộ cao tốc đã triển khai và tuân thủ quy định của pháp luật; đồng thời tiếp tục rà soát, đánh giá tính hợp lý của phương án phân chia các Dự án thành phần, đảm bảo tuân thủ quy định.</w:t>
      </w:r>
    </w:p>
    <w:p>
      <w:pPr>
        <w:pStyle w:val="Normal"/>
        <w:bidi w:val="0"/>
        <w:spacing w:before="120" w:after="280"/>
        <w:rPr>
          <w:color w:val="000000"/>
        </w:rPr>
      </w:pPr>
      <w:r>
        <w:rPr>
          <w:color w:val="000000"/>
        </w:rPr>
        <w:t>- Phối hợp chặt chẽ với Kiểm toán Nhà nước cung cấp đầy đủ hồ sơ, tài liệu liên quan trong quá trình triển khai để kiểm toán Nhà nước có ý kiến trong quý I năm 2026 trước khi Chủ tịch Ủy ban nhân dân tỉnh Nghệ An phê duyệt báo cáo nghiên cứu khả thi.</w:t>
      </w:r>
    </w:p>
    <w:p>
      <w:pPr>
        <w:pStyle w:val="Normal"/>
        <w:bidi w:val="0"/>
        <w:spacing w:before="120" w:after="280"/>
        <w:rPr>
          <w:color w:val="000000"/>
        </w:rPr>
      </w:pPr>
      <w:r>
        <w:rPr>
          <w:color w:val="000000"/>
        </w:rPr>
        <w:t xml:space="preserve">- Chịu trách nhiệm trong việc bảo đảm nguồn vốn theo quy định tại </w:t>
      </w:r>
      <w:bookmarkStart w:id="7" w:name="dc_4"/>
      <w:r>
        <w:rPr>
          <w:color w:val="000000"/>
        </w:rPr>
        <w:t>khoản 5 Điều 2 Nghị quyết số 255/2025/QH15</w:t>
      </w:r>
      <w:bookmarkEnd w:id="7"/>
      <w:r>
        <w:rPr>
          <w:color w:val="000000"/>
        </w:rPr>
        <w:t xml:space="preserve"> của Quốc hội; tiến độ, chất lượng các dự án thành phần, công tác bồi thường, hỗ trợ, tái định cư của Dự án.</w:t>
      </w:r>
    </w:p>
    <w:p>
      <w:pPr>
        <w:pStyle w:val="Normal"/>
        <w:bidi w:val="0"/>
        <w:spacing w:before="120" w:after="280"/>
        <w:rPr>
          <w:color w:val="000000"/>
        </w:rPr>
      </w:pPr>
      <w:r>
        <w:rPr>
          <w:color w:val="000000"/>
        </w:rPr>
        <w:t>- Thực hiện thẩm quyền, trách nhiệm của người quyết định đầu tư và cấp có thẩm quyền theo các quy định hiện hành trong tổ chức thực hiện các dự án thành phần, đảm bảo tiến độ hoàn thành công trình đưa vào vận hành, khai thác trong năm 2029.</w:t>
      </w:r>
    </w:p>
    <w:p>
      <w:pPr>
        <w:pStyle w:val="Normal"/>
        <w:bidi w:val="0"/>
        <w:spacing w:before="120" w:after="280"/>
        <w:rPr>
          <w:color w:val="000000"/>
        </w:rPr>
      </w:pPr>
      <w:r>
        <w:rPr>
          <w:color w:val="000000"/>
        </w:rPr>
        <w:t>- Xây dựng Kế hoạch chi tiết; Quy chế phối hợp để đảm bảo dự án triển khai đồng bộ, tổng thể và hoàn thành đúng tiến độ đề ra.</w:t>
      </w:r>
    </w:p>
    <w:p>
      <w:pPr>
        <w:pStyle w:val="Normal"/>
        <w:bidi w:val="0"/>
        <w:spacing w:before="120" w:after="280"/>
        <w:rPr>
          <w:color w:val="000000"/>
        </w:rPr>
      </w:pPr>
      <w:r>
        <w:rPr>
          <w:color w:val="000000"/>
        </w:rPr>
        <w:t>- Kiểm tra, rà soát các quy hoạch xây dựng, quy hoạch ngành liên quan đến Dự án; tổ chức điều chỉnh theo thẩm quyền hoặc báo cáo cấp có thẩm quyền xem xét, quyết định theo quy định, bảo đảm phát huy hiệu quả đầu tư của Dự án.</w:t>
      </w:r>
    </w:p>
    <w:p>
      <w:pPr>
        <w:pStyle w:val="Normal"/>
        <w:bidi w:val="0"/>
        <w:spacing w:before="120" w:after="280"/>
        <w:rPr>
          <w:color w:val="000000"/>
        </w:rPr>
      </w:pPr>
      <w:r>
        <w:rPr>
          <w:color w:val="000000"/>
        </w:rPr>
        <w:t>- Tổ chức lập, thẩm tra, thẩm định, quyết định phê duyệt các dự án thành phần và thực hiện các công việc tiếp theo bảo đảm tiến độ dự án theo yêu cầu tại Nghị quyết này.</w:t>
      </w:r>
    </w:p>
    <w:p>
      <w:pPr>
        <w:pStyle w:val="Normal"/>
        <w:bidi w:val="0"/>
        <w:spacing w:before="120" w:after="280"/>
        <w:rPr>
          <w:color w:val="000000"/>
        </w:rPr>
      </w:pPr>
      <w:r>
        <w:rPr>
          <w:color w:val="000000"/>
        </w:rPr>
        <w:t>- Tổ chức khảo sát, lập Hồ sơ khảo sát vật liệu xây dựng phục vụ các Dự án thành phần.</w:t>
      </w:r>
    </w:p>
    <w:p>
      <w:pPr>
        <w:pStyle w:val="Normal"/>
        <w:bidi w:val="0"/>
        <w:spacing w:before="120" w:after="280"/>
        <w:rPr>
          <w:color w:val="000000"/>
        </w:rPr>
      </w:pPr>
      <w:r>
        <w:rPr>
          <w:color w:val="000000"/>
        </w:rPr>
        <w:t>- Tổ chức thực hiện công tác bồi thường, hỗ trợ, tái định cư và xác định các bãi đổ chất thải rắn xây dựng bảo đảm tiến độ Dự án.</w:t>
      </w:r>
    </w:p>
    <w:p>
      <w:pPr>
        <w:pStyle w:val="Normal"/>
        <w:bidi w:val="0"/>
        <w:spacing w:before="120" w:after="280"/>
        <w:rPr>
          <w:color w:val="000000"/>
        </w:rPr>
      </w:pPr>
      <w:r>
        <w:rPr>
          <w:color w:val="000000"/>
        </w:rPr>
        <w:t>- Công bố giá các loại vật liệu xây dựng thông thường theo thẩm quyền và quy định pháp luật.</w:t>
      </w:r>
    </w:p>
    <w:p>
      <w:pPr>
        <w:pStyle w:val="Normal"/>
        <w:bidi w:val="0"/>
        <w:spacing w:before="120" w:after="280"/>
        <w:rPr>
          <w:color w:val="000000"/>
        </w:rPr>
      </w:pPr>
      <w:r>
        <w:rPr>
          <w:color w:val="000000"/>
        </w:rPr>
        <w:t>- Kiểm tra, kiểm soát, quản lý chặt chẽ giá vật liệu xây dựng. Chỉ đạo các cơ quan, đơn vị trực thuộc thường xuyên theo dõi, bám sát diễn biến của thị trường xây dựng để kịp thời cập nhật, công bố giá vật liệu xây dựng thông thường theo quy định pháp luật.</w:t>
      </w:r>
    </w:p>
    <w:p>
      <w:pPr>
        <w:pStyle w:val="Normal"/>
        <w:bidi w:val="0"/>
        <w:spacing w:before="120" w:after="280"/>
        <w:rPr>
          <w:color w:val="000000"/>
        </w:rPr>
      </w:pPr>
      <w:r>
        <w:rPr>
          <w:color w:val="000000"/>
        </w:rPr>
        <w:t>- Thực hiện quyết toán các dự án thành phần theo thẩm quyền.</w:t>
      </w:r>
    </w:p>
    <w:p>
      <w:pPr>
        <w:pStyle w:val="Normal"/>
        <w:bidi w:val="0"/>
        <w:spacing w:before="120" w:after="280"/>
        <w:rPr>
          <w:color w:val="000000"/>
        </w:rPr>
      </w:pPr>
      <w:r>
        <w:rPr>
          <w:color w:val="000000"/>
        </w:rPr>
        <w:t>- Cập nhật bổ sung quy hoạch, thỏa thuận, phối hợp, tạo điều kiện thuận lợi cho các đơn vị thực hiện Dự án khai thác và thực hiện các công việc liên quan đảm bảo cung cấp đầy đủ vật liệu triển khai Dự án đáp ứng yêu cầu về tiến độ, chất lượng.</w:t>
      </w:r>
    </w:p>
    <w:p>
      <w:pPr>
        <w:pStyle w:val="Normal"/>
        <w:bidi w:val="0"/>
        <w:spacing w:before="120" w:after="280"/>
        <w:rPr>
          <w:color w:val="000000"/>
        </w:rPr>
      </w:pPr>
      <w:r>
        <w:rPr>
          <w:color w:val="000000"/>
        </w:rPr>
        <w:t>- Xây dựng các Báo cáo, Tờ trình của Chính phủ gửi Quốc hội tại kỳ họp cuối năm về tình hình thực hiện Dự án và gửi các cấp có thẩm quyền theo quy định.</w:t>
      </w:r>
    </w:p>
    <w:p>
      <w:pPr>
        <w:pStyle w:val="Normal"/>
        <w:bidi w:val="0"/>
        <w:spacing w:before="120" w:after="280"/>
        <w:rPr>
          <w:color w:val="000000"/>
        </w:rPr>
      </w:pPr>
      <w:r>
        <w:rPr>
          <w:color w:val="000000"/>
        </w:rPr>
        <w:t>5. Đề nghị Kiểm toán Nhà nước phối hợp Bộ Xây dựng, Ủy ban nhân dân tỉnh Nghệ An thực hiện kiểm tra lại sơ bộ tổng mức đầu tư, suất vốn đầu tư của Dự án và kết luận trong quý I năm 2026 trước khi Chủ tịch Ủy ban nhân dân tỉnh Nghệ An phê duyệt Báo cáo nghiên cứu khả thi.</w:t>
      </w:r>
    </w:p>
    <w:p>
      <w:pPr>
        <w:pStyle w:val="Normal"/>
        <w:bidi w:val="0"/>
        <w:spacing w:before="120" w:after="280"/>
        <w:rPr>
          <w:b/>
          <w:bCs/>
          <w:color w:val="000000"/>
        </w:rPr>
      </w:pPr>
      <w:bookmarkStart w:id="8" w:name="dieu_2"/>
      <w:r>
        <w:rPr>
          <w:b/>
          <w:bCs/>
          <w:color w:val="000000"/>
        </w:rPr>
        <w:t>Điều 2. Tổ chức thực hiện</w:t>
      </w:r>
      <w:bookmarkEnd w:id="8"/>
    </w:p>
    <w:p>
      <w:pPr>
        <w:pStyle w:val="Normal"/>
        <w:bidi w:val="0"/>
        <w:spacing w:before="120" w:after="280"/>
        <w:rPr>
          <w:color w:val="000000"/>
        </w:rPr>
      </w:pPr>
      <w:r>
        <w:rPr>
          <w:color w:val="000000"/>
        </w:rPr>
        <w:t>1. Nghị quyết này có hiệu lực thi hành kể từ ngày ký ban hành.</w:t>
      </w:r>
    </w:p>
    <w:p>
      <w:pPr>
        <w:pStyle w:val="Normal"/>
        <w:bidi w:val="0"/>
        <w:spacing w:before="120" w:after="280"/>
        <w:rPr>
          <w:color w:val="000000"/>
        </w:rPr>
      </w:pPr>
      <w:r>
        <w:rPr>
          <w:color w:val="000000"/>
        </w:rPr>
        <w:t>2. Ủy ban nhân dân tỉnh Nghệ An, các bộ, ngành liên quan có trách nhiệm thực hiện thẩm quyền, nhiệm vụ được giao tại Nghị quyết này.</w:t>
      </w:r>
    </w:p>
    <w:p>
      <w:pPr>
        <w:pStyle w:val="Normal"/>
        <w:bidi w:val="0"/>
        <w:spacing w:before="120" w:after="280"/>
        <w:rPr>
          <w:color w:val="000000"/>
        </w:rPr>
      </w:pPr>
      <w:r>
        <w:rPr>
          <w:color w:val="000000"/>
        </w:rPr>
        <w:t>Trong quá trình triển khai thực hiện Dự án cần tuân thủ trình tự, quy định của pháp luật và quy hoạch liên quan, đáp ứng yêu cầu phát triển kinh tế - xã hội, bảo đảm quốc phòng - an ninh; bảo đảm hiệu quả đầu tư, lợi ích Nhà nước, quyền và lợi ích hợp pháp của các bên liên quan, không để phát sinh các vấn đề phức tạp, tham nhũng, lãng phí, tiêu cực; lựa chọn nhà thầu đủ điều kiện và năng lực; cân đối, bố trí đủ nguồn vốn, cung ứng đủ nguồn vật liệu, làm tốt công tác giải phóng mặt bằng, đảm bảo an sinh xã hội; có biện pháp quản lý, giám sát chặt chẽ quá trình triển khai thực hiện dự án nhằm đáp ứng yêu cầu về tiến độ, chất lượng, phòng ngừa vi phạm; bố trí quỹ đất dành cho công tác đảm bảo an ninh, trật tự, an toàn giao thông. Trường hợp phát sinh vướng mắc vượt thẩm quyền, Ủy ban nhân dân tỉnh Nghệ An tổng hợp, báo cáo Chính phủ, Thủ tướng Chính phủ xem xét, quyết định.</w:t>
      </w:r>
    </w:p>
    <w:p>
      <w:pPr>
        <w:pStyle w:val="Normal"/>
        <w:bidi w:val="0"/>
        <w:spacing w:before="120" w:after="280"/>
        <w:rPr>
          <w:color w:val="000000"/>
        </w:rPr>
      </w:pPr>
      <w:r>
        <w:rPr>
          <w:color w:val="000000"/>
        </w:rPr>
        <w:t>3. Các cơ quan thông tấn, báo chí phối hợp với Ban Tuyên giáo và Dân vận Trung ương, các bộ, ngành và địa phương tổ chức phổ biến, tuyên truyền rộng rãi chủ trương thực hiện Dự án trong các ngành, các cấp và Nhân dân.</w:t>
      </w:r>
    </w:p>
    <w:p>
      <w:pPr>
        <w:pStyle w:val="Normal"/>
        <w:bidi w:val="0"/>
        <w:spacing w:before="120" w:after="280"/>
        <w:rPr>
          <w:color w:val="000000"/>
        </w:rPr>
      </w:pPr>
      <w:r>
        <w:rPr>
          <w:color w:val="000000"/>
        </w:rPr>
        <w:t>4. Bộ trưởng, Thủ trưởng cơ quan ngang bộ, cơ quan thuộc Chính phủ, Chủ tịch Ủy ban nhân dân tỉnh Nghệ An và các cơ quan, đơn vị có liên quan chịu trách nhiệm thực hiện các nội dung của Nghị quyết này.</w:t>
      </w:r>
    </w:p>
    <w:p>
      <w:pPr>
        <w:pStyle w:val="Normal"/>
        <w:bidi w:val="0"/>
        <w:spacing w:before="120" w:after="280"/>
        <w:rPr>
          <w:color w:val="000000"/>
        </w:rPr>
      </w:pPr>
      <w:r>
        <w:rPr>
          <w:color w:val="000000"/>
        </w:rPr>
        <w:t> </w:t>
      </w:r>
    </w:p>
    <w:tbl>
      <w:tblPr>
        <w:tblW w:w="8640" w:type="dxa"/>
        <w:jc w:val="start"/>
        <w:tblInd w:w="0" w:type="dxa"/>
        <w:tblLayout w:type="fixed"/>
        <w:tblCellMar>
          <w:top w:w="0" w:type="dxa"/>
          <w:start w:w="108" w:type="dxa"/>
          <w:bottom w:w="0" w:type="dxa"/>
          <w:end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tỉnh Nghệ An;</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Tập đoàn Điện lực Việt Nam;</w:t>
              <w:br/>
              <w:t>- VPCP: BTCN, các PCN, Trợ lý TTg, TGĐ Cổng TTĐT, các Vụ: TH, KTTH, PL, QHĐP, NN, NC;</w:t>
              <w:br/>
              <w:t>- Lưu: VT, CN (2).</w:t>
            </w:r>
          </w:p>
        </w:tc>
        <w:tc>
          <w:tcPr>
            <w:tcW w:w="4333" w:type="dxa"/>
            <w:tcBorders/>
          </w:tcPr>
          <w:p>
            <w:pPr>
              <w:pStyle w:val="Normal"/>
              <w:bidi w:val="0"/>
              <w:spacing w:before="120" w:after="0"/>
              <w:jc w:val="center"/>
              <w:rPr/>
            </w:pPr>
            <w:r>
              <w:rPr>
                <w:b/>
                <w:bCs/>
                <w:color w:val="000000"/>
              </w:rPr>
              <w:t>TM. CHÍNH PHỦ</w:t>
            </w:r>
            <w:r>
              <w:rPr>
                <w:color w:val="000000"/>
              </w:rPr>
              <w:br/>
            </w:r>
            <w:r>
              <w:rPr>
                <w:b/>
                <w:bCs/>
                <w:color w:val="000000"/>
              </w:rPr>
              <w:t>KT. THỦ TƯỚNG</w:t>
            </w:r>
            <w:r>
              <w:rPr>
                <w:color w:val="000000"/>
              </w:rPr>
              <w:br/>
            </w:r>
            <w:r>
              <w:rPr>
                <w:b/>
                <w:bCs/>
                <w:color w:val="000000"/>
              </w:rPr>
              <w:t>PHÓ THỦ TƯỚNG</w:t>
            </w:r>
            <w:r>
              <w:rPr>
                <w:color w:val="000000"/>
              </w:rPr>
              <w:br/>
              <w:br/>
              <w:br/>
              <w:br/>
              <w:br/>
            </w:r>
            <w:r>
              <w:rPr>
                <w:b/>
                <w:bCs/>
                <w:color w:val="000000"/>
              </w:rPr>
              <w:t>Trần Hồng Hà</w:t>
            </w:r>
          </w:p>
        </w:tc>
      </w:tr>
    </w:tbl>
    <w:p>
      <w:pPr>
        <w:pStyle w:val="Normal"/>
        <w:bidi w:val="0"/>
        <w:spacing w:before="120" w:after="280"/>
        <w:rPr>
          <w:color w:val="000000"/>
        </w:rPr>
      </w:pPr>
      <w:r>
        <w:rPr>
          <w:color w:val="000000"/>
        </w:rPr>
        <w:t> </w:t>
      </w:r>
    </w:p>
    <w:p>
      <w:pPr>
        <w:pStyle w:val="Normal"/>
        <w:bidi w:val="0"/>
        <w:spacing w:before="120" w:after="280"/>
        <w:jc w:val="center"/>
        <w:rPr>
          <w:b/>
          <w:bCs/>
          <w:sz w:val="24"/>
        </w:rPr>
      </w:pPr>
      <w:bookmarkStart w:id="9" w:name="chuong_pl"/>
      <w:r>
        <w:rPr>
          <w:b/>
          <w:bCs/>
          <w:sz w:val="24"/>
        </w:rPr>
        <w:t>PHỤ LỤC</w:t>
      </w:r>
      <w:bookmarkEnd w:id="9"/>
    </w:p>
    <w:p>
      <w:pPr>
        <w:pStyle w:val="Normal"/>
        <w:bidi w:val="0"/>
        <w:spacing w:before="120" w:after="280"/>
        <w:jc w:val="center"/>
        <w:rPr/>
      </w:pPr>
      <w:bookmarkStart w:id="10" w:name="chuong_pl_name"/>
      <w:r>
        <w:rPr>
          <w:color w:val="000000"/>
        </w:rPr>
        <w:t>DỰ KIẾN TIẾN ĐỘ, KẾ HOẠCH TRIỂN KHAI</w:t>
      </w:r>
      <w:bookmarkEnd w:id="10"/>
      <w:r>
        <w:rPr>
          <w:color w:val="000000"/>
        </w:rPr>
        <w:br/>
      </w:r>
      <w:r>
        <w:rPr>
          <w:i/>
          <w:iCs/>
          <w:color w:val="000000"/>
        </w:rPr>
        <w:t>(Kèm theo Nghị quyết số 42/NQ-CP ngày 11 tháng 3 năm 2026 của Chính phủ)</w:t>
      </w:r>
    </w:p>
    <w:tbl>
      <w:tblPr>
        <w:tblW w:w="5000" w:type="pct"/>
        <w:jc w:val="start"/>
        <w:tblInd w:w="-10" w:type="dxa"/>
        <w:tblLayout w:type="fixed"/>
        <w:tblCellMar>
          <w:top w:w="0" w:type="dxa"/>
          <w:start w:w="0" w:type="dxa"/>
          <w:bottom w:w="0" w:type="dxa"/>
          <w:end w:w="0" w:type="dxa"/>
        </w:tblCellMar>
      </w:tblPr>
      <w:tblGrid>
        <w:gridCol w:w="634"/>
        <w:gridCol w:w="5314"/>
        <w:gridCol w:w="1562"/>
        <w:gridCol w:w="1257"/>
        <w:gridCol w:w="1205"/>
      </w:tblGrid>
      <w:tr>
        <w:trPr/>
        <w:tc>
          <w:tcPr>
            <w:tcW w:w="634"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color w:val="000000"/>
              </w:rPr>
            </w:pPr>
            <w:r>
              <w:rPr>
                <w:b/>
                <w:bCs/>
                <w:color w:val="000000"/>
              </w:rPr>
              <w:t>STT</w:t>
            </w:r>
          </w:p>
        </w:tc>
        <w:tc>
          <w:tcPr>
            <w:tcW w:w="5314"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color w:val="000000"/>
              </w:rPr>
            </w:pPr>
            <w:r>
              <w:rPr>
                <w:b/>
                <w:bCs/>
                <w:color w:val="000000"/>
              </w:rPr>
              <w:t>Tên công việc</w:t>
            </w:r>
          </w:p>
        </w:tc>
        <w:tc>
          <w:tcPr>
            <w:tcW w:w="4024"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color w:val="000000"/>
              </w:rPr>
              <w:t>Thời gian thực hiệnThời gian thực hiệnThời gian thực hiện</w:t>
            </w:r>
          </w:p>
        </w:tc>
      </w:tr>
      <w:tr>
        <w:trPr/>
        <w:tc>
          <w:tcPr>
            <w:tcW w:w="634"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5314"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562" w:type="dxa"/>
            <w:tcBorders>
              <w:bottom w:val="single" w:sz="8" w:space="0" w:color="000000"/>
              <w:end w:val="single" w:sz="8" w:space="0" w:color="000000"/>
            </w:tcBorders>
            <w:vAlign w:val="center"/>
          </w:tcPr>
          <w:p>
            <w:pPr>
              <w:pStyle w:val="Normal"/>
              <w:bidi w:val="0"/>
              <w:spacing w:before="120" w:after="0"/>
              <w:jc w:val="center"/>
              <w:rPr>
                <w:b/>
                <w:bCs/>
                <w:color w:val="000000"/>
              </w:rPr>
            </w:pPr>
            <w:r>
              <w:rPr>
                <w:b/>
                <w:bCs/>
                <w:color w:val="000000"/>
              </w:rPr>
              <w:t>Bắt đầu</w:t>
            </w:r>
          </w:p>
        </w:tc>
        <w:tc>
          <w:tcPr>
            <w:tcW w:w="1257" w:type="dxa"/>
            <w:tcBorders>
              <w:bottom w:val="single" w:sz="8" w:space="0" w:color="000000"/>
              <w:end w:val="single" w:sz="8" w:space="0" w:color="000000"/>
            </w:tcBorders>
            <w:vAlign w:val="center"/>
          </w:tcPr>
          <w:p>
            <w:pPr>
              <w:pStyle w:val="Normal"/>
              <w:bidi w:val="0"/>
              <w:spacing w:before="120" w:after="0"/>
              <w:jc w:val="center"/>
              <w:rPr>
                <w:b/>
                <w:bCs/>
                <w:color w:val="000000"/>
              </w:rPr>
            </w:pPr>
            <w:r>
              <w:rPr>
                <w:b/>
                <w:bCs/>
                <w:color w:val="000000"/>
              </w:rPr>
              <w:t>Hoàn thành</w:t>
            </w:r>
          </w:p>
        </w:tc>
        <w:tc>
          <w:tcPr>
            <w:tcW w:w="1205" w:type="dxa"/>
            <w:tcBorders>
              <w:bottom w:val="single" w:sz="8" w:space="0" w:color="000000"/>
              <w:end w:val="single" w:sz="8" w:space="0" w:color="000000"/>
            </w:tcBorders>
            <w:vAlign w:val="center"/>
          </w:tcPr>
          <w:p>
            <w:pPr>
              <w:pStyle w:val="Normal"/>
              <w:bidi w:val="0"/>
              <w:spacing w:before="120" w:after="0"/>
              <w:jc w:val="center"/>
              <w:rPr>
                <w:b/>
                <w:bCs/>
                <w:color w:val="000000"/>
              </w:rPr>
            </w:pPr>
            <w:r>
              <w:rPr>
                <w:b/>
                <w:bCs/>
                <w:color w:val="000000"/>
              </w:rPr>
              <w:t>Thời gian</w:t>
            </w:r>
          </w:p>
        </w:tc>
      </w:tr>
      <w:tr>
        <w:trPr/>
        <w:tc>
          <w:tcPr>
            <w:tcW w:w="634" w:type="dxa"/>
            <w:tcBorders>
              <w:start w:val="single" w:sz="8" w:space="0" w:color="000000"/>
              <w:bottom w:val="single" w:sz="8" w:space="0" w:color="000000"/>
              <w:end w:val="single" w:sz="8" w:space="0" w:color="000000"/>
            </w:tcBorders>
            <w:vAlign w:val="center"/>
          </w:tcPr>
          <w:p>
            <w:pPr>
              <w:pStyle w:val="Normal"/>
              <w:bidi w:val="0"/>
              <w:spacing w:before="120" w:after="0"/>
              <w:jc w:val="center"/>
              <w:rPr>
                <w:color w:val="000000"/>
              </w:rPr>
            </w:pPr>
            <w:r>
              <w:rPr>
                <w:color w:val="000000"/>
              </w:rPr>
              <w:t>1</w:t>
            </w:r>
          </w:p>
        </w:tc>
        <w:tc>
          <w:tcPr>
            <w:tcW w:w="5314" w:type="dxa"/>
            <w:tcBorders>
              <w:bottom w:val="single" w:sz="8" w:space="0" w:color="000000"/>
              <w:end w:val="single" w:sz="8" w:space="0" w:color="000000"/>
            </w:tcBorders>
            <w:vAlign w:val="center"/>
          </w:tcPr>
          <w:p>
            <w:pPr>
              <w:pStyle w:val="Normal"/>
              <w:bidi w:val="0"/>
              <w:spacing w:before="120" w:after="0"/>
              <w:rPr>
                <w:color w:val="000000"/>
              </w:rPr>
            </w:pPr>
            <w:r>
              <w:rPr>
                <w:color w:val="000000"/>
              </w:rPr>
              <w:t>Lập, thẩm định, phê duyệt hồ sơ đánh giá tác động môi trường cho các dự án thành phần (ĐTM).</w:t>
            </w:r>
          </w:p>
        </w:tc>
        <w:tc>
          <w:tcPr>
            <w:tcW w:w="1562"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02/2026</w:t>
            </w:r>
          </w:p>
        </w:tc>
        <w:tc>
          <w:tcPr>
            <w:tcW w:w="1257"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3/2026</w:t>
            </w:r>
          </w:p>
        </w:tc>
        <w:tc>
          <w:tcPr>
            <w:tcW w:w="1205"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2 tháng</w:t>
            </w:r>
          </w:p>
        </w:tc>
      </w:tr>
      <w:tr>
        <w:trPr/>
        <w:tc>
          <w:tcPr>
            <w:tcW w:w="634" w:type="dxa"/>
            <w:tcBorders>
              <w:start w:val="single" w:sz="8" w:space="0" w:color="000000"/>
              <w:bottom w:val="single" w:sz="8" w:space="0" w:color="000000"/>
              <w:end w:val="single" w:sz="8" w:space="0" w:color="000000"/>
            </w:tcBorders>
            <w:vAlign w:val="center"/>
          </w:tcPr>
          <w:p>
            <w:pPr>
              <w:pStyle w:val="Normal"/>
              <w:bidi w:val="0"/>
              <w:spacing w:before="120" w:after="0"/>
              <w:jc w:val="center"/>
              <w:rPr>
                <w:color w:val="000000"/>
              </w:rPr>
            </w:pPr>
            <w:r>
              <w:rPr>
                <w:color w:val="000000"/>
              </w:rPr>
              <w:t>2</w:t>
            </w:r>
          </w:p>
        </w:tc>
        <w:tc>
          <w:tcPr>
            <w:tcW w:w="5314" w:type="dxa"/>
            <w:tcBorders>
              <w:bottom w:val="single" w:sz="8" w:space="0" w:color="000000"/>
              <w:end w:val="single" w:sz="8" w:space="0" w:color="000000"/>
            </w:tcBorders>
            <w:vAlign w:val="center"/>
          </w:tcPr>
          <w:p>
            <w:pPr>
              <w:pStyle w:val="Normal"/>
              <w:bidi w:val="0"/>
              <w:spacing w:before="120" w:after="0"/>
              <w:rPr>
                <w:color w:val="000000"/>
              </w:rPr>
            </w:pPr>
            <w:r>
              <w:rPr>
                <w:color w:val="000000"/>
              </w:rPr>
              <w:t>Lập, thẩm tra, thẩm định, phê duyệt Báo cáo nghiên cứu khả thi cho các dự án thành phần.</w:t>
            </w:r>
          </w:p>
        </w:tc>
        <w:tc>
          <w:tcPr>
            <w:tcW w:w="1562"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02/2026</w:t>
            </w:r>
          </w:p>
        </w:tc>
        <w:tc>
          <w:tcPr>
            <w:tcW w:w="1257"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3/2026</w:t>
            </w:r>
          </w:p>
        </w:tc>
        <w:tc>
          <w:tcPr>
            <w:tcW w:w="1205"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2 tháng</w:t>
            </w:r>
          </w:p>
        </w:tc>
      </w:tr>
      <w:tr>
        <w:trPr/>
        <w:tc>
          <w:tcPr>
            <w:tcW w:w="634" w:type="dxa"/>
            <w:tcBorders>
              <w:start w:val="single" w:sz="8" w:space="0" w:color="000000"/>
              <w:bottom w:val="single" w:sz="8" w:space="0" w:color="000000"/>
              <w:end w:val="single" w:sz="8" w:space="0" w:color="000000"/>
            </w:tcBorders>
            <w:vAlign w:val="center"/>
          </w:tcPr>
          <w:p>
            <w:pPr>
              <w:pStyle w:val="Normal"/>
              <w:bidi w:val="0"/>
              <w:spacing w:before="120" w:after="0"/>
              <w:jc w:val="center"/>
              <w:rPr>
                <w:color w:val="000000"/>
              </w:rPr>
            </w:pPr>
            <w:r>
              <w:rPr>
                <w:color w:val="000000"/>
              </w:rPr>
              <w:t>3</w:t>
            </w:r>
          </w:p>
        </w:tc>
        <w:tc>
          <w:tcPr>
            <w:tcW w:w="5314" w:type="dxa"/>
            <w:tcBorders>
              <w:bottom w:val="single" w:sz="8" w:space="0" w:color="000000"/>
              <w:end w:val="single" w:sz="8" w:space="0" w:color="000000"/>
            </w:tcBorders>
            <w:vAlign w:val="center"/>
          </w:tcPr>
          <w:p>
            <w:pPr>
              <w:pStyle w:val="Normal"/>
              <w:bidi w:val="0"/>
              <w:spacing w:before="120" w:after="0"/>
              <w:rPr>
                <w:color w:val="000000"/>
              </w:rPr>
            </w:pPr>
            <w:r>
              <w:rPr>
                <w:color w:val="000000"/>
              </w:rPr>
              <w:t>Địa phương thực hiện công tác GPMB.</w:t>
            </w:r>
          </w:p>
        </w:tc>
        <w:tc>
          <w:tcPr>
            <w:tcW w:w="1562"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02/2026</w:t>
            </w:r>
          </w:p>
        </w:tc>
        <w:tc>
          <w:tcPr>
            <w:tcW w:w="1257"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01/2027</w:t>
            </w:r>
          </w:p>
        </w:tc>
        <w:tc>
          <w:tcPr>
            <w:tcW w:w="1205"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12 tháng</w:t>
            </w:r>
          </w:p>
        </w:tc>
      </w:tr>
      <w:tr>
        <w:trPr/>
        <w:tc>
          <w:tcPr>
            <w:tcW w:w="634" w:type="dxa"/>
            <w:tcBorders>
              <w:start w:val="single" w:sz="8" w:space="0" w:color="000000"/>
              <w:bottom w:val="single" w:sz="8" w:space="0" w:color="000000"/>
              <w:end w:val="single" w:sz="8" w:space="0" w:color="000000"/>
            </w:tcBorders>
            <w:vAlign w:val="center"/>
          </w:tcPr>
          <w:p>
            <w:pPr>
              <w:pStyle w:val="Normal"/>
              <w:bidi w:val="0"/>
              <w:spacing w:before="120" w:after="0"/>
              <w:jc w:val="center"/>
              <w:rPr>
                <w:color w:val="000000"/>
              </w:rPr>
            </w:pPr>
            <w:r>
              <w:rPr>
                <w:color w:val="000000"/>
              </w:rPr>
              <w:t>-</w:t>
            </w:r>
          </w:p>
        </w:tc>
        <w:tc>
          <w:tcPr>
            <w:tcW w:w="5314" w:type="dxa"/>
            <w:tcBorders>
              <w:bottom w:val="single" w:sz="8" w:space="0" w:color="000000"/>
              <w:end w:val="single" w:sz="8" w:space="0" w:color="000000"/>
            </w:tcBorders>
            <w:vAlign w:val="center"/>
          </w:tcPr>
          <w:p>
            <w:pPr>
              <w:pStyle w:val="Normal"/>
              <w:bidi w:val="0"/>
              <w:spacing w:before="120" w:after="0"/>
              <w:rPr>
                <w:color w:val="000000"/>
              </w:rPr>
            </w:pPr>
            <w:r>
              <w:rPr>
                <w:color w:val="000000"/>
              </w:rPr>
              <w:t>Bàn giao 60% diện tích mặt bằng của các gói thầu xây lắp để khởi công.</w:t>
            </w:r>
          </w:p>
        </w:tc>
        <w:tc>
          <w:tcPr>
            <w:tcW w:w="1562"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02/2026</w:t>
            </w:r>
          </w:p>
        </w:tc>
        <w:tc>
          <w:tcPr>
            <w:tcW w:w="1257"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4/2026</w:t>
            </w:r>
          </w:p>
        </w:tc>
        <w:tc>
          <w:tcPr>
            <w:tcW w:w="1205"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3 tháng</w:t>
            </w:r>
          </w:p>
        </w:tc>
      </w:tr>
      <w:tr>
        <w:trPr/>
        <w:tc>
          <w:tcPr>
            <w:tcW w:w="634" w:type="dxa"/>
            <w:tcBorders>
              <w:start w:val="single" w:sz="8" w:space="0" w:color="000000"/>
              <w:bottom w:val="single" w:sz="8" w:space="0" w:color="000000"/>
              <w:end w:val="single" w:sz="8" w:space="0" w:color="000000"/>
            </w:tcBorders>
            <w:vAlign w:val="center"/>
          </w:tcPr>
          <w:p>
            <w:pPr>
              <w:pStyle w:val="Normal"/>
              <w:bidi w:val="0"/>
              <w:spacing w:before="120" w:after="0"/>
              <w:jc w:val="center"/>
              <w:rPr>
                <w:color w:val="000000"/>
              </w:rPr>
            </w:pPr>
            <w:r>
              <w:rPr>
                <w:color w:val="000000"/>
              </w:rPr>
              <w:t>-</w:t>
            </w:r>
          </w:p>
        </w:tc>
        <w:tc>
          <w:tcPr>
            <w:tcW w:w="5314" w:type="dxa"/>
            <w:tcBorders>
              <w:bottom w:val="single" w:sz="8" w:space="0" w:color="000000"/>
              <w:end w:val="single" w:sz="8" w:space="0" w:color="000000"/>
            </w:tcBorders>
            <w:vAlign w:val="center"/>
          </w:tcPr>
          <w:p>
            <w:pPr>
              <w:pStyle w:val="Normal"/>
              <w:bidi w:val="0"/>
              <w:spacing w:before="120" w:after="0"/>
              <w:rPr>
                <w:color w:val="000000"/>
              </w:rPr>
            </w:pPr>
            <w:r>
              <w:rPr>
                <w:color w:val="000000"/>
              </w:rPr>
              <w:t>Bàn giao toàn bộ mặt bằng còn lại.</w:t>
            </w:r>
          </w:p>
        </w:tc>
        <w:tc>
          <w:tcPr>
            <w:tcW w:w="1562"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5/2026</w:t>
            </w:r>
          </w:p>
        </w:tc>
        <w:tc>
          <w:tcPr>
            <w:tcW w:w="1257"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02/2027</w:t>
            </w:r>
          </w:p>
        </w:tc>
        <w:tc>
          <w:tcPr>
            <w:tcW w:w="1205"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9 tháng</w:t>
            </w:r>
          </w:p>
        </w:tc>
      </w:tr>
      <w:tr>
        <w:trPr/>
        <w:tc>
          <w:tcPr>
            <w:tcW w:w="634" w:type="dxa"/>
            <w:tcBorders>
              <w:start w:val="single" w:sz="8" w:space="0" w:color="000000"/>
              <w:bottom w:val="single" w:sz="8" w:space="0" w:color="000000"/>
              <w:end w:val="single" w:sz="8" w:space="0" w:color="000000"/>
            </w:tcBorders>
            <w:vAlign w:val="center"/>
          </w:tcPr>
          <w:p>
            <w:pPr>
              <w:pStyle w:val="Normal"/>
              <w:bidi w:val="0"/>
              <w:spacing w:before="120" w:after="0"/>
              <w:jc w:val="center"/>
              <w:rPr>
                <w:color w:val="000000"/>
              </w:rPr>
            </w:pPr>
            <w:r>
              <w:rPr>
                <w:color w:val="000000"/>
              </w:rPr>
              <w:t>4</w:t>
            </w:r>
          </w:p>
        </w:tc>
        <w:tc>
          <w:tcPr>
            <w:tcW w:w="5314" w:type="dxa"/>
            <w:tcBorders>
              <w:bottom w:val="single" w:sz="8" w:space="0" w:color="000000"/>
              <w:end w:val="single" w:sz="8" w:space="0" w:color="000000"/>
            </w:tcBorders>
            <w:vAlign w:val="center"/>
          </w:tcPr>
          <w:p>
            <w:pPr>
              <w:pStyle w:val="Normal"/>
              <w:bidi w:val="0"/>
              <w:spacing w:before="120" w:after="0"/>
              <w:rPr>
                <w:color w:val="000000"/>
              </w:rPr>
            </w:pPr>
            <w:r>
              <w:rPr>
                <w:color w:val="000000"/>
              </w:rPr>
              <w:t>Lập, thẩm tra, thẩm định, phê duyệt thiết kế kỹ thuật, dự toán; lựa chọn nhà thầu xây lắp, Tư vấn giám sát, ... và khởi công.</w:t>
            </w:r>
          </w:p>
        </w:tc>
        <w:tc>
          <w:tcPr>
            <w:tcW w:w="1562"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3/2026</w:t>
            </w:r>
          </w:p>
        </w:tc>
        <w:tc>
          <w:tcPr>
            <w:tcW w:w="1257"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4/2026</w:t>
            </w:r>
          </w:p>
        </w:tc>
        <w:tc>
          <w:tcPr>
            <w:tcW w:w="1205"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2 tháng</w:t>
            </w:r>
          </w:p>
        </w:tc>
      </w:tr>
      <w:tr>
        <w:trPr/>
        <w:tc>
          <w:tcPr>
            <w:tcW w:w="634" w:type="dxa"/>
            <w:tcBorders>
              <w:start w:val="single" w:sz="8" w:space="0" w:color="000000"/>
              <w:bottom w:val="single" w:sz="8" w:space="0" w:color="000000"/>
              <w:end w:val="single" w:sz="8" w:space="0" w:color="000000"/>
            </w:tcBorders>
            <w:vAlign w:val="center"/>
          </w:tcPr>
          <w:p>
            <w:pPr>
              <w:pStyle w:val="Normal"/>
              <w:bidi w:val="0"/>
              <w:spacing w:before="120" w:after="0"/>
              <w:jc w:val="center"/>
              <w:rPr>
                <w:color w:val="000000"/>
              </w:rPr>
            </w:pPr>
            <w:r>
              <w:rPr>
                <w:color w:val="000000"/>
              </w:rPr>
              <w:t>5</w:t>
            </w:r>
          </w:p>
        </w:tc>
        <w:tc>
          <w:tcPr>
            <w:tcW w:w="5314" w:type="dxa"/>
            <w:tcBorders>
              <w:bottom w:val="single" w:sz="8" w:space="0" w:color="000000"/>
              <w:end w:val="single" w:sz="8" w:space="0" w:color="000000"/>
            </w:tcBorders>
            <w:vAlign w:val="center"/>
          </w:tcPr>
          <w:p>
            <w:pPr>
              <w:pStyle w:val="Normal"/>
              <w:bidi w:val="0"/>
              <w:spacing w:before="120" w:after="0"/>
              <w:rPr>
                <w:color w:val="000000"/>
              </w:rPr>
            </w:pPr>
            <w:r>
              <w:rPr>
                <w:color w:val="000000"/>
              </w:rPr>
              <w:t>Tổ chức thi công.</w:t>
            </w:r>
          </w:p>
        </w:tc>
        <w:tc>
          <w:tcPr>
            <w:tcW w:w="1562"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Tháng 4/2026</w:t>
            </w:r>
          </w:p>
        </w:tc>
        <w:tc>
          <w:tcPr>
            <w:tcW w:w="1257"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Trước tháng 4/2029</w:t>
            </w:r>
          </w:p>
        </w:tc>
        <w:tc>
          <w:tcPr>
            <w:tcW w:w="1205" w:type="dxa"/>
            <w:tcBorders>
              <w:bottom w:val="single" w:sz="8" w:space="0" w:color="000000"/>
              <w:end w:val="single" w:sz="8" w:space="0" w:color="000000"/>
            </w:tcBorders>
            <w:vAlign w:val="center"/>
          </w:tcPr>
          <w:p>
            <w:pPr>
              <w:pStyle w:val="Normal"/>
              <w:bidi w:val="0"/>
              <w:spacing w:before="120" w:after="0"/>
              <w:jc w:val="center"/>
              <w:rPr>
                <w:color w:val="000000"/>
              </w:rPr>
            </w:pPr>
            <w:r>
              <w:rPr>
                <w:color w:val="000000"/>
              </w:rPr>
              <w:t>36 tháng (*)</w:t>
            </w:r>
          </w:p>
        </w:tc>
      </w:tr>
    </w:tbl>
    <w:p>
      <w:pPr>
        <w:pStyle w:val="Normal"/>
        <w:bidi w:val="0"/>
        <w:spacing w:before="120" w:after="280"/>
        <w:rPr>
          <w:color w:val="000000"/>
        </w:rPr>
      </w:pPr>
      <w:r>
        <w:rPr>
          <w:color w:val="000000"/>
        </w:rPr>
        <w:t>(*) Ủy ban nhân dân tỉnh Nghệ An trong quá trình phê duyệt dự án, tiếp tục rà soát, nghiên cứu rút ngắn thời gian thực hiện, nhằm đưa dự án vào khai thác, sử dụng trong thời gian sớm nhất.</w:t>
      </w:r>
    </w:p>
    <w:p>
      <w:pPr>
        <w:pStyle w:val="Normal"/>
        <w:bidi w:val="0"/>
        <w:spacing w:before="120" w:after="280"/>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0" w:after="280"/>
        <w:rPr/>
      </w:pPr>
      <w:hyperlink w:anchor="_ftnref1">
        <w:bookmarkStart w:id="11" w:name="_ftn1"/>
        <w:bookmarkEnd w:id="11"/>
        <w:r>
          <w:rPr>
            <w:rStyle w:val="Hyperlink"/>
            <w:color w:val="0000FF"/>
            <w:u w:val="single"/>
          </w:rPr>
          <w:t>[1]</w:t>
        </w:r>
      </w:hyperlink>
      <w:r>
        <w:rPr/>
        <w:t xml:space="preserve"> </w:t>
      </w:r>
      <w:r>
        <w:rPr>
          <w:color w:val="000000"/>
        </w:rPr>
        <w:t>Khoản 2 Điều 3 Nghị quyết số 255/2025/QH15.</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