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sz w:val="20"/>
              </w:rPr>
              <w:t>ỦY BAN NHÂN DÂN</w:t>
            </w:r>
            <w:r>
              <w:rPr>
                <w:sz w:val="20"/>
              </w:rPr>
              <w:br/>
            </w:r>
            <w:r>
              <w:rPr>
                <w:b/>
                <w:bCs/>
                <w:sz w:val="20"/>
              </w:rPr>
              <w:t>TỈNH BẮC NINH</w:t>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sz w:val="20"/>
              </w:rPr>
              <w:t>Số: 446/QĐ-UBND</w:t>
            </w:r>
          </w:p>
        </w:tc>
        <w:tc>
          <w:tcPr>
            <w:tcW w:w="6607" w:type="dxa"/>
            <w:tcBorders/>
          </w:tcPr>
          <w:p>
            <w:pPr>
              <w:pStyle w:val="Normal"/>
              <w:bidi w:val="0"/>
              <w:spacing w:before="0" w:after="0"/>
              <w:jc w:val="end"/>
              <w:rPr/>
            </w:pPr>
            <w:r>
              <w:rPr>
                <w:i/>
                <w:iCs/>
                <w:sz w:val="20"/>
              </w:rPr>
              <w:t>Bắc Ninh, ngày 13 tháng 3 năm 2026</w:t>
            </w:r>
          </w:p>
        </w:tc>
      </w:tr>
    </w:tbl>
    <w:p>
      <w:pPr>
        <w:pStyle w:val="Normal"/>
        <w:bidi w:val="0"/>
        <w:spacing w:before="0" w:after="120"/>
        <w:rPr>
          <w:sz w:val="20"/>
        </w:rPr>
      </w:pPr>
      <w:r>
        <w:rPr>
          <w:sz w:val="20"/>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sz w:val="20"/>
        </w:rPr>
      </w:pPr>
      <w:r>
        <w:rPr>
          <w:sz w:val="20"/>
        </w:rPr>
        <w:t>VỀ VIỆC BÃI BỎ QUYẾT ĐỊNH SỐ 393/2014/QĐ-UBND NGÀY 09 THÁNG 9 NĂM 2014 CỦA ỦY BAN NHÂN DÂN TỈNH BẮC NINH QUY ĐỊNH MỘT SỐ MỨC CHI KINH PHÍ THỰC HIỆN CÁC HOẠT ĐỘNG KIỂM SOÁT THỦ TỤC HÀNH CHÍNH TRÊN ĐỊA BÀN TỈNH BẮC NINH</w:t>
      </w:r>
    </w:p>
    <w:p>
      <w:pPr>
        <w:pStyle w:val="Normal"/>
        <w:bidi w:val="0"/>
        <w:spacing w:before="0" w:after="120"/>
        <w:jc w:val="center"/>
        <w:rPr>
          <w:b/>
          <w:bCs/>
          <w:sz w:val="24"/>
        </w:rPr>
      </w:pPr>
      <w:r>
        <w:rPr>
          <w:b/>
          <w:bCs/>
          <w:sz w:val="24"/>
        </w:rPr>
        <w:t>ỦY BAN NHÂN DÂN TỈNH BẮC NINH</w:t>
      </w:r>
    </w:p>
    <w:p>
      <w:pPr>
        <w:pStyle w:val="Normal"/>
        <w:bidi w:val="0"/>
        <w:spacing w:before="0" w:after="120"/>
        <w:rPr>
          <w:i/>
          <w:iCs/>
          <w:sz w:val="20"/>
        </w:rPr>
      </w:pPr>
      <w:r>
        <w:rPr>
          <w:i/>
          <w:iCs/>
          <w:sz w:val="20"/>
        </w:rPr>
        <w:t>Căn cứ Luật Tổ chức chính quyền địa phương ngày 16 tháng 6 năm 2025;</w:t>
      </w:r>
    </w:p>
    <w:p>
      <w:pPr>
        <w:pStyle w:val="Normal"/>
        <w:bidi w:val="0"/>
        <w:spacing w:before="0" w:after="120"/>
        <w:rPr>
          <w:i/>
          <w:iCs/>
          <w:sz w:val="20"/>
        </w:rPr>
      </w:pPr>
      <w:r>
        <w:rPr>
          <w:i/>
          <w:iCs/>
          <w:sz w:val="20"/>
        </w:rPr>
        <w:t>Căn cứ Luật Ban hành văn bản quy phạm pháp luật ngày 19 tháng 02 năm 2025; Luật Sửa đổi, bổ sung một số điều của Luật Ban hành văn bản quy phạm pháp luật ngày 25 tháng 6 năm 2025;</w:t>
      </w:r>
    </w:p>
    <w:p>
      <w:pPr>
        <w:pStyle w:val="Normal"/>
        <w:bidi w:val="0"/>
        <w:spacing w:before="0" w:after="120"/>
        <w:rPr>
          <w:i/>
          <w:iCs/>
          <w:sz w:val="20"/>
        </w:rPr>
      </w:pPr>
      <w:r>
        <w:rPr>
          <w:i/>
          <w:iCs/>
          <w:sz w:val="20"/>
        </w:rPr>
        <w:t>Căn cứ Nghị định số 118/2025/NĐ-CP ngày 09 tháng 6 năm 2025 của Chính phủ Về thực hiện thủ tục hành chính theo cơ chế một cửa, một cửa liên thông tại Bộ phận Một cửa và Cổng Dịch vụ công quốc gia; Nghị định số 367/2025/NĐ- CP ngày 31 tháng 12 năm 2025 của Chính phủ Sửa đổi, bổ sung một số điều của Nghị định số 118/2025/NĐ-CP ngày 09 tháng 6 năm 2025 Về thực hiện thủ tục hành chính theo cơ chế một cửa, một cửa liên thông tại Bộ phận Một cửa và Cổng Dịch vụ công quốc gia;</w:t>
      </w:r>
    </w:p>
    <w:p>
      <w:pPr>
        <w:pStyle w:val="Normal"/>
        <w:bidi w:val="0"/>
        <w:spacing w:before="0" w:after="120"/>
        <w:rPr>
          <w:i/>
          <w:iCs/>
          <w:sz w:val="20"/>
        </w:rPr>
      </w:pPr>
      <w:r>
        <w:rPr>
          <w:i/>
          <w:iCs/>
          <w:sz w:val="20"/>
        </w:rPr>
        <w:t>Căn cứ Nghị quyết số 95/2025/NQ-HĐND ngày 10 tháng 12 năm 2025 của Hội đồng nhân dân tỉnh Bắc Ninh Quy định một số mức chi bảo đảm cho hoạt động kiểm soát thủ tục hành chính trên địa bàn tỉnh Bắc Ninh;</w:t>
      </w:r>
    </w:p>
    <w:p>
      <w:pPr>
        <w:pStyle w:val="Normal"/>
        <w:bidi w:val="0"/>
        <w:spacing w:before="0" w:after="120"/>
        <w:rPr>
          <w:i/>
          <w:iCs/>
          <w:sz w:val="20"/>
        </w:rPr>
      </w:pPr>
      <w:r>
        <w:rPr>
          <w:i/>
          <w:iCs/>
          <w:sz w:val="20"/>
        </w:rPr>
        <w:t>Theo đề nghị của Chánh Văn phòng Ủy ban nhân dân tỉnh tại Tờ trình số 293/TTr-VP ngày 03 tháng 3 năm 2026.</w:t>
      </w:r>
    </w:p>
    <w:p>
      <w:pPr>
        <w:pStyle w:val="Normal"/>
        <w:bidi w:val="0"/>
        <w:spacing w:before="0" w:after="120"/>
        <w:jc w:val="center"/>
        <w:rPr>
          <w:b/>
          <w:bCs/>
          <w:sz w:val="24"/>
        </w:rPr>
      </w:pPr>
      <w:r>
        <w:rPr>
          <w:b/>
          <w:bCs/>
          <w:sz w:val="24"/>
        </w:rPr>
        <w:t>QUYẾT ĐỊNH:</w:t>
      </w:r>
    </w:p>
    <w:p>
      <w:pPr>
        <w:pStyle w:val="Normal"/>
        <w:bidi w:val="0"/>
        <w:spacing w:before="0" w:after="120"/>
        <w:rPr/>
      </w:pPr>
      <w:r>
        <w:rPr>
          <w:b/>
          <w:bCs/>
          <w:sz w:val="20"/>
        </w:rPr>
        <w:t xml:space="preserve">Điều 1. </w:t>
      </w:r>
      <w:r>
        <w:rPr>
          <w:sz w:val="20"/>
        </w:rPr>
        <w:t>Bãi bỏ toàn bộ Quyết định số 393/2014/QĐ-UBND ngày 09 tháng 9 năm 2014 của Ủy ban nhân dân tỉnh Bắc Ninh Quy định một số mức chi kinh phí thực hiện các hoạt động kiểm soát thủ tục hành chính trên địa bàn tỉnh Bắc Ninh.</w:t>
      </w:r>
    </w:p>
    <w:p>
      <w:pPr>
        <w:pStyle w:val="Normal"/>
        <w:bidi w:val="0"/>
        <w:spacing w:before="0" w:after="120"/>
        <w:rPr/>
      </w:pPr>
      <w:r>
        <w:rPr>
          <w:b/>
          <w:bCs/>
          <w:sz w:val="20"/>
        </w:rPr>
        <w:t xml:space="preserve">Điều 2. </w:t>
      </w:r>
      <w:r>
        <w:rPr>
          <w:sz w:val="20"/>
        </w:rPr>
        <w:t>Quyết định này có hiệu lực kể từ ngày ký.</w:t>
      </w:r>
    </w:p>
    <w:p>
      <w:pPr>
        <w:pStyle w:val="Normal"/>
        <w:bidi w:val="0"/>
        <w:spacing w:before="0" w:after="120"/>
        <w:rPr/>
      </w:pPr>
      <w:r>
        <w:rPr>
          <w:b/>
          <w:bCs/>
          <w:sz w:val="20"/>
        </w:rPr>
        <w:t xml:space="preserve">Điều 3. </w:t>
      </w:r>
      <w:r>
        <w:rPr>
          <w:sz w:val="20"/>
        </w:rPr>
        <w:t>Thủ trưởng các sở, ban, ngành thuộc Ủy ban nhân dân tỉnh; Chủ tịch Ủy ban nhân dân các xã, phường; các tổ chức, cá nhân có liên quan chịu trách nhiệm thi hành Quyết định này./.</w:t>
      </w:r>
    </w:p>
    <w:p>
      <w:pPr>
        <w:pStyle w:val="Normal"/>
        <w:bidi w:val="0"/>
        <w:spacing w:before="0" w:after="120"/>
        <w:rPr>
          <w:sz w:val="20"/>
        </w:rPr>
      </w:pPr>
      <w:r>
        <w:rPr>
          <w:sz w:val="20"/>
        </w:rPr>
        <w:t> </w:t>
      </w:r>
    </w:p>
    <w:tbl>
      <w:tblPr>
        <w:tblW w:w="8640" w:type="dxa"/>
        <w:jc w:val="start"/>
        <w:tblInd w:w="0" w:type="dxa"/>
        <w:tblLayout w:type="fixed"/>
        <w:tblCellMar>
          <w:top w:w="0" w:type="dxa"/>
          <w:start w:w="108" w:type="dxa"/>
          <w:bottom w:w="0" w:type="dxa"/>
          <w:end w:w="108" w:type="dxa"/>
        </w:tblCellMar>
      </w:tblPr>
      <w:tblGrid>
        <w:gridCol w:w="4300"/>
        <w:gridCol w:w="4340"/>
      </w:tblGrid>
      <w:tr>
        <w:trPr/>
        <w:tc>
          <w:tcPr>
            <w:tcW w:w="4300" w:type="dxa"/>
            <w:tcBorders/>
          </w:tcPr>
          <w:p>
            <w:pPr>
              <w:pStyle w:val="Normal"/>
              <w:bidi w:val="0"/>
              <w:spacing w:before="0" w:after="0"/>
              <w:rPr/>
            </w:pPr>
            <w:r>
              <w:rPr>
                <w:sz w:val="16"/>
              </w:rPr>
              <w:br/>
            </w:r>
            <w:r>
              <w:rPr>
                <w:b/>
                <w:bCs/>
                <w:i/>
                <w:iCs/>
                <w:sz w:val="20"/>
              </w:rPr>
              <w:t>Nơi nhận:</w:t>
              <w:br/>
            </w:r>
            <w:r>
              <w:rPr>
                <w:sz w:val="16"/>
              </w:rPr>
              <w:t>- Như Điều 3;</w:t>
              <w:br/>
              <w:t>- Văn phòng Chính phủ (b/c);</w:t>
              <w:br/>
              <w:t>- Cục KTVB &amp; TCTHPL (Bộ Tư pháp);</w:t>
              <w:br/>
              <w:t>- TT Tỉnh ủy, TT HĐND tỉnh (b/c);</w:t>
              <w:br/>
              <w:t>- Chủ tịch, các Phó Chủ tịch UBND tỉnh;</w:t>
              <w:br/>
              <w:t>- Ủy ban MTTQ Việt Nam tỉnh Bắc Ninh và các tổ chức Chính trị - Xã hội tỉnh;</w:t>
              <w:br/>
              <w:t>- Các cơ quan Trung ương đóng trên địa bàn tỉnh;</w:t>
              <w:br/>
              <w:t>- VP UBND tỉnh: LĐVP; các phòng, TTTT;</w:t>
              <w:br/>
              <w:t>- Lưu: VT, TTPVHCC.</w:t>
            </w:r>
          </w:p>
        </w:tc>
        <w:tc>
          <w:tcPr>
            <w:tcW w:w="4340" w:type="dxa"/>
            <w:tcBorders/>
          </w:tcPr>
          <w:p>
            <w:pPr>
              <w:pStyle w:val="Normal"/>
              <w:bidi w:val="0"/>
              <w:spacing w:before="0" w:after="0"/>
              <w:jc w:val="center"/>
              <w:rPr/>
            </w:pPr>
            <w:r>
              <w:rPr>
                <w:b/>
                <w:bCs/>
                <w:sz w:val="20"/>
              </w:rPr>
              <w:t>TM. ỦY BAN NHÂN DÂN</w:t>
              <w:br/>
              <w:t>KT. CHỦ TỊCH</w:t>
            </w:r>
            <w:r>
              <w:rPr>
                <w:sz w:val="20"/>
              </w:rPr>
              <w:br/>
            </w:r>
            <w:r>
              <w:rPr>
                <w:b/>
                <w:bCs/>
                <w:sz w:val="20"/>
              </w:rPr>
              <w:t>PHÓ CHỦ TỊCH</w:t>
            </w:r>
            <w:r>
              <w:rPr>
                <w:sz w:val="20"/>
              </w:rPr>
              <w:br/>
              <w:br/>
              <w:br/>
              <w:br/>
              <w:br/>
            </w:r>
            <w:r>
              <w:rPr>
                <w:b/>
                <w:bCs/>
                <w:sz w:val="20"/>
              </w:rPr>
              <w:t>Mai Sơn</w:t>
            </w:r>
          </w:p>
        </w:tc>
      </w:tr>
    </w:tbl>
    <w:p>
      <w:pPr>
        <w:pStyle w:val="Normal"/>
        <w:bidi w:val="0"/>
        <w:spacing w:before="0" w:after="120"/>
        <w:rPr>
          <w:sz w:val="20"/>
        </w:rPr>
      </w:pPr>
      <w:r>
        <w:rPr>
          <w:sz w:val="20"/>
        </w:rPr>
        <w:t> </w:t>
      </w:r>
    </w:p>
    <w:p>
      <w:pPr>
        <w:pStyle w:val="Normal"/>
        <w:bidi w:val="0"/>
        <w:spacing w:before="0" w:after="280"/>
        <w:rPr>
          <w:b/>
          <w:bCs/>
          <w:sz w:val="20"/>
        </w:rPr>
      </w:pPr>
      <w:r>
        <w:rPr>
          <w:b/>
          <w:bCs/>
          <w:sz w:val="2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