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7"/>
        <w:gridCol w:w="6115"/>
      </w:tblGrid>
      <w:tr>
        <w:trPr/>
        <w:tc>
          <w:tcPr>
            <w:tcW w:w="3857" w:type="dxa"/>
            <w:tcBorders/>
          </w:tcPr>
          <w:p>
            <w:pPr>
              <w:pStyle w:val="Normal"/>
              <w:bidi w:val="0"/>
              <w:spacing w:before="120" w:after="0"/>
              <w:jc w:val="center"/>
              <w:rPr/>
            </w:pPr>
            <w:r>
              <w:rPr>
                <w:b/>
                <w:bCs/>
                <w:color w:val="000000"/>
              </w:rPr>
              <w:t>CHÍNH PHỦ</w:t>
            </w:r>
            <w:r>
              <w:rPr>
                <w:b/>
                <w:bCs/>
              </w:rPr>
              <w:br/>
              <w:t>-------</w:t>
            </w:r>
          </w:p>
        </w:tc>
        <w:tc>
          <w:tcPr>
            <w:tcW w:w="611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7" w:type="dxa"/>
            <w:tcBorders/>
          </w:tcPr>
          <w:p>
            <w:pPr>
              <w:pStyle w:val="Normal"/>
              <w:bidi w:val="0"/>
              <w:spacing w:before="120" w:after="0"/>
              <w:jc w:val="center"/>
              <w:rPr/>
            </w:pPr>
            <w:r>
              <w:rPr>
                <w:color w:val="000000"/>
              </w:rPr>
              <w:t>Số: 46/NQ-CP</w:t>
            </w:r>
          </w:p>
        </w:tc>
        <w:tc>
          <w:tcPr>
            <w:tcW w:w="6115" w:type="dxa"/>
            <w:tcBorders/>
          </w:tcPr>
          <w:p>
            <w:pPr>
              <w:pStyle w:val="Normal"/>
              <w:bidi w:val="0"/>
              <w:spacing w:before="120" w:after="0"/>
              <w:jc w:val="end"/>
              <w:rPr/>
            </w:pPr>
            <w:r>
              <w:rPr>
                <w:i/>
                <w:iCs/>
                <w:color w:val="000000"/>
              </w:rPr>
              <w:t>Hà Nội, ngày 14 tháng 3 năm 2026</w:t>
            </w:r>
          </w:p>
        </w:tc>
      </w:tr>
    </w:tbl>
    <w:p>
      <w:pPr>
        <w:pStyle w:val="Normal"/>
        <w:bidi w:val="0"/>
        <w:spacing w:before="120" w:after="280"/>
        <w:rPr/>
      </w:pPr>
      <w:r>
        <w:rPr/>
        <w:t> </w:t>
      </w:r>
    </w:p>
    <w:p>
      <w:pPr>
        <w:pStyle w:val="Normal"/>
        <w:bidi w:val="0"/>
        <w:spacing w:before="120" w:after="280"/>
        <w:jc w:val="center"/>
        <w:rPr>
          <w:b/>
          <w:bCs/>
          <w:color w:val="000000"/>
          <w:sz w:val="24"/>
        </w:rPr>
      </w:pPr>
      <w:bookmarkStart w:id="0" w:name="loai_1"/>
      <w:r>
        <w:rPr>
          <w:b/>
          <w:bCs/>
          <w:color w:val="000000"/>
          <w:sz w:val="24"/>
        </w:rPr>
        <w:t>NGHỊ QUYẾT</w:t>
      </w:r>
      <w:bookmarkEnd w:id="0"/>
    </w:p>
    <w:p>
      <w:pPr>
        <w:pStyle w:val="Normal"/>
        <w:bidi w:val="0"/>
        <w:spacing w:before="120" w:after="280"/>
        <w:jc w:val="center"/>
        <w:rPr>
          <w:color w:val="000000"/>
        </w:rPr>
      </w:pPr>
      <w:bookmarkStart w:id="1" w:name="loai_1_name"/>
      <w:r>
        <w:rPr>
          <w:color w:val="000000"/>
        </w:rPr>
        <w:t>VỀ TỔ CHỨC THẨM ĐỊNH ĐIỀU CHỈNH CHỦ TRƯƠNG ĐẦU TƯ DỰ ÁN ĐIỆN HẠT NHÂN NINH THUẬN 1</w:t>
      </w:r>
      <w:bookmarkEnd w:id="1"/>
    </w:p>
    <w:p>
      <w:pPr>
        <w:pStyle w:val="Normal"/>
        <w:bidi w:val="0"/>
        <w:spacing w:before="120" w:after="280"/>
        <w:jc w:val="center"/>
        <w:rPr>
          <w:b/>
          <w:bCs/>
          <w:color w:val="000000"/>
          <w:sz w:val="24"/>
        </w:rPr>
      </w:pPr>
      <w:r>
        <w:rPr>
          <w:b/>
          <w:bCs/>
          <w:color w:val="000000"/>
          <w:sz w:val="24"/>
        </w:rPr>
        <w:t>CHÍNH PHỦ</w:t>
      </w:r>
    </w:p>
    <w:p>
      <w:pPr>
        <w:pStyle w:val="Normal"/>
        <w:bidi w:val="0"/>
        <w:spacing w:before="120" w:after="280"/>
        <w:rPr>
          <w:i/>
          <w:iCs/>
          <w:color w:val="000000"/>
        </w:rPr>
      </w:pPr>
      <w:r>
        <w:rPr>
          <w:i/>
          <w:iCs/>
          <w:color w:val="000000"/>
        </w:rPr>
        <w:t>Căn cứ Luật Tổ chức Chính phủ ngày 18 tháng 02 năm 2025;</w:t>
      </w:r>
    </w:p>
    <w:p>
      <w:pPr>
        <w:pStyle w:val="Normal"/>
        <w:bidi w:val="0"/>
        <w:spacing w:before="120" w:after="280"/>
        <w:rPr>
          <w:i/>
          <w:iCs/>
          <w:color w:val="000000"/>
        </w:rPr>
      </w:pPr>
      <w:r>
        <w:rPr>
          <w:i/>
          <w:iCs/>
          <w:color w:val="000000"/>
        </w:rPr>
        <w:t>Căn cứ Luật Đầu tư công ngày 29 tháng 11 năm 2024;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p>
    <w:p>
      <w:pPr>
        <w:pStyle w:val="Normal"/>
        <w:bidi w:val="0"/>
        <w:spacing w:before="120" w:after="280"/>
        <w:rPr>
          <w:i/>
          <w:iCs/>
          <w:color w:val="000000"/>
        </w:rPr>
      </w:pPr>
      <w:r>
        <w:rPr>
          <w:i/>
          <w:iCs/>
          <w:color w:val="000000"/>
        </w:rPr>
        <w:t>Căn cứ Nghị quyết số 174/2024/QH15 ngày 30 tháng 11 năm 2024 của Quốc hội về Kỳ họp thứ 8, Quốc hội khóa XV;</w:t>
      </w:r>
    </w:p>
    <w:p>
      <w:pPr>
        <w:pStyle w:val="Normal"/>
        <w:bidi w:val="0"/>
        <w:spacing w:before="120" w:after="280"/>
        <w:rPr>
          <w:i/>
          <w:iCs/>
          <w:color w:val="000000"/>
        </w:rPr>
      </w:pPr>
      <w:r>
        <w:rPr>
          <w:i/>
          <w:iCs/>
          <w:color w:val="000000"/>
        </w:rPr>
        <w:t>Căn cứ Nghị quyết số 189/2025/QH15 ngày 19 tháng 02 năm 2025 của Quốc hội về một số cơ chế, chính sách đặc biệt đầu tư xây dựng Dự án điện hạt nhân Ninh Thuận;</w:t>
      </w:r>
    </w:p>
    <w:p>
      <w:pPr>
        <w:pStyle w:val="Normal"/>
        <w:bidi w:val="0"/>
        <w:spacing w:before="120" w:after="280"/>
        <w:rPr>
          <w:i/>
          <w:iCs/>
          <w:color w:val="000000"/>
        </w:rPr>
      </w:pPr>
      <w:r>
        <w:rPr>
          <w:i/>
          <w:iCs/>
          <w:color w:val="000000"/>
        </w:rPr>
        <w:t>Theo đề nghị của Bộ trưởng, Chủ nhiệm Văn phòng Chính phủ.</w:t>
      </w:r>
    </w:p>
    <w:p>
      <w:pPr>
        <w:pStyle w:val="Normal"/>
        <w:bidi w:val="0"/>
        <w:spacing w:before="120" w:after="280"/>
        <w:jc w:val="center"/>
        <w:rPr>
          <w:b/>
          <w:bCs/>
          <w:color w:val="000000"/>
          <w:sz w:val="24"/>
        </w:rPr>
      </w:pPr>
      <w:r>
        <w:rPr>
          <w:b/>
          <w:bCs/>
          <w:color w:val="000000"/>
          <w:sz w:val="24"/>
        </w:rPr>
        <w:t>QUYẾT NGHỊ:</w:t>
      </w:r>
    </w:p>
    <w:p>
      <w:pPr>
        <w:pStyle w:val="Normal"/>
        <w:bidi w:val="0"/>
        <w:spacing w:before="120" w:after="280"/>
        <w:rPr/>
      </w:pPr>
      <w:bookmarkStart w:id="2" w:name="dieu_1"/>
      <w:r>
        <w:rPr>
          <w:b/>
          <w:bCs/>
          <w:color w:val="000000"/>
        </w:rPr>
        <w:t xml:space="preserve">Điều 1. </w:t>
      </w:r>
      <w:r>
        <w:rPr>
          <w:color w:val="000000"/>
        </w:rPr>
        <w:t>Bộ Tài chính tiếp tục thực hiện nhiệm vụ chủ trì tổ chức thẩm định và Bộ trưởng Bộ Tài chính làm Chủ tịch Hội đồng thẩm định Báo cáo nghiên cứu tiền khả thi điều chỉnh chủ trương đầu tư dự án điện hạt nhân Ninh Thuận 1 đã được Thủ tướng Chính phủ giao tại văn bản số 21/TB-VPCP ngày 11 tháng 01 năm 2026.</w:t>
      </w:r>
      <w:bookmarkEnd w:id="2"/>
    </w:p>
    <w:p>
      <w:pPr>
        <w:pStyle w:val="Normal"/>
        <w:bidi w:val="0"/>
        <w:spacing w:before="120" w:after="280"/>
        <w:rPr>
          <w:b/>
          <w:bCs/>
          <w:color w:val="000000"/>
        </w:rPr>
      </w:pPr>
      <w:bookmarkStart w:id="3" w:name="dieu_2"/>
      <w:r>
        <w:rPr>
          <w:b/>
          <w:bCs/>
          <w:color w:val="000000"/>
        </w:rPr>
        <w:t>Điều 2. Tổ chức thực hiện</w:t>
      </w:r>
      <w:bookmarkEnd w:id="3"/>
    </w:p>
    <w:p>
      <w:pPr>
        <w:pStyle w:val="Normal"/>
        <w:bidi w:val="0"/>
        <w:spacing w:before="120" w:after="280"/>
        <w:rPr>
          <w:color w:val="000000"/>
        </w:rPr>
      </w:pPr>
      <w:r>
        <w:rPr>
          <w:color w:val="000000"/>
        </w:rPr>
        <w:t>1. Nghị quyết này có hiệu lực thi hành kể từ ngày ký ban hành.</w:t>
      </w:r>
    </w:p>
    <w:p>
      <w:pPr>
        <w:pStyle w:val="Normal"/>
        <w:bidi w:val="0"/>
        <w:spacing w:before="120" w:after="280"/>
        <w:rPr>
          <w:color w:val="000000"/>
        </w:rPr>
      </w:pPr>
      <w:r>
        <w:rPr>
          <w:color w:val="000000"/>
        </w:rPr>
        <w:t>2. Bộ Tài chính khẩn trương đề xuất để Thủ tướng Chính phủ quyết định thành lập Hội đồng Thẩm định điều chỉnh chủ trương đầu tư dự án điện hạt nhân Ninh Thuận 1 theo quy định; tổ chức thẩm định để trình Chính phủ xem xét, quyết định trong ngày 15 tháng 3 năm 2026 và hoàn thiện hồ sơ trình Quốc hội xem xét, quyết định tại Kỳ họp thứ nhất, Quốc hội khóa XVI vào tháng 4 năm 2026.</w:t>
      </w:r>
    </w:p>
    <w:p>
      <w:pPr>
        <w:pStyle w:val="Normal"/>
        <w:bidi w:val="0"/>
        <w:spacing w:before="120" w:after="280"/>
        <w:rPr>
          <w:color w:val="000000"/>
        </w:rPr>
      </w:pPr>
      <w:r>
        <w:rPr>
          <w:color w:val="000000"/>
        </w:rPr>
        <w:t>3. Bộ trưởng Bộ Tài chính và Bộ trưởng, Thủ trưởng cơ quan ngang bộ, cơ quan thuộc Chính phủ và các cơ quan, đơn vị có liên quan chịu trách nhiệm thực hiện các nội dung của Nghị quyết này.</w:t>
      </w:r>
    </w:p>
    <w:p>
      <w:pPr>
        <w:pStyle w:val="Normal"/>
        <w:bidi w:val="0"/>
        <w:spacing w:before="120" w:after="280"/>
        <w:rPr>
          <w:color w:val="000000"/>
        </w:rPr>
      </w:pPr>
      <w:r>
        <w:rPr>
          <w:color w:val="000000"/>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color w:val="000000"/>
                <w:sz w:val="16"/>
              </w:rPr>
              <w:t>- Ban Bí thư Trung ương Đảng;</w:t>
              <w:br/>
              <w:t>- Thủ tướng, các Phó Thủ tướng Chính phủ;</w:t>
              <w:br/>
              <w:t>- Các bộ, cơ quan ngang bộ, cơ quan thuộc Chính phủ;</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Tập đoàn Điện lực Việt Nam;</w:t>
              <w:br/>
              <w:t>- VPCP: BTCN, các PCN, Trợ lý TTg, TGĐ Cổng TTĐT, các Vụ: TH, KTTH, PL, QHĐP, NN, NC;</w:t>
              <w:br/>
              <w:t>- Lưu: VT, CN (2).</w:t>
            </w:r>
          </w:p>
        </w:tc>
        <w:tc>
          <w:tcPr>
            <w:tcW w:w="4333" w:type="dxa"/>
            <w:tcBorders/>
          </w:tcPr>
          <w:p>
            <w:pPr>
              <w:pStyle w:val="Normal"/>
              <w:bidi w:val="0"/>
              <w:spacing w:before="120" w:after="0"/>
              <w:jc w:val="center"/>
              <w:rPr/>
            </w:pPr>
            <w:r>
              <w:rPr>
                <w:b/>
                <w:bCs/>
                <w:color w:val="000000"/>
              </w:rPr>
              <w:t>TM. CHÍNH PHỦ</w:t>
            </w:r>
            <w:r>
              <w:rPr>
                <w:color w:val="000000"/>
              </w:rPr>
              <w:br/>
            </w:r>
            <w:r>
              <w:rPr>
                <w:b/>
                <w:bCs/>
                <w:color w:val="000000"/>
              </w:rPr>
              <w:t>KT. THỦ TƯỚNG</w:t>
            </w:r>
            <w:r>
              <w:rPr>
                <w:color w:val="000000"/>
              </w:rPr>
              <w:br/>
            </w:r>
            <w:r>
              <w:rPr>
                <w:b/>
                <w:bCs/>
                <w:color w:val="000000"/>
              </w:rPr>
              <w:t>PHÓ THỦ TƯỚNG</w:t>
            </w:r>
            <w:r>
              <w:rPr>
                <w:color w:val="000000"/>
              </w:rPr>
              <w:br/>
              <w:br/>
              <w:br/>
              <w:br/>
              <w:br/>
            </w:r>
            <w:r>
              <w:rPr>
                <w:b/>
                <w:bCs/>
                <w:color w:val="000000"/>
              </w:rPr>
              <w:t>Bùi Thanh Sơn</w:t>
            </w:r>
          </w:p>
        </w:tc>
      </w:tr>
    </w:tbl>
    <w:p>
      <w:pPr>
        <w:pStyle w:val="Normal"/>
        <w:bidi w:val="0"/>
        <w:spacing w:before="120" w:after="280"/>
        <w:rPr>
          <w:color w:val="000000"/>
        </w:rPr>
      </w:pPr>
      <w:r>
        <w:rPr>
          <w:color w:val="00000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