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rPr>
              <w:t>CHÍNH PHỦ</w:t>
            </w:r>
            <w:r>
              <w:rPr/>
              <w:br/>
            </w:r>
            <w:r>
              <w:rPr>
                <w:b/>
                <w:bCs/>
              </w:rP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t>Số: 47/NQ-CP</w:t>
            </w:r>
          </w:p>
        </w:tc>
        <w:tc>
          <w:tcPr>
            <w:tcW w:w="6115" w:type="dxa"/>
            <w:tcBorders/>
          </w:tcPr>
          <w:p>
            <w:pPr>
              <w:pStyle w:val="Normal"/>
              <w:bidi w:val="0"/>
              <w:spacing w:before="120" w:after="0"/>
              <w:jc w:val="end"/>
              <w:rPr/>
            </w:pPr>
            <w:r>
              <w:rPr>
                <w:i/>
                <w:iCs/>
              </w:rPr>
              <w:t>Hà Nội, ngày 16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VỀ VIỆC BỔ SUNG DỰ ÁN LUẬT SỬA ĐỔI, BỔ SUNG MỘT SỐ ĐIỀU CỦA 04 LUẬT THUỘC LĨNH VỰC NỘI VỤ VÀO CHƯƠNG TRÌNH LẬP PHÁP NĂM 2026 CỦA QUỐC HỘI KHÓA XVI</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Ban hành văn bản quy phạm pháp luật ngày 19 tháng 02 năm 2025; Luật sửa đổi, bổ sung một số điều của Luật Ban hành văn bản quy phạm pháp luật ngày 25 tháng 6 năm 2025;</w:t>
      </w:r>
    </w:p>
    <w:p>
      <w:pPr>
        <w:pStyle w:val="Normal"/>
        <w:bidi w:val="0"/>
        <w:spacing w:before="120" w:after="280"/>
        <w:rPr>
          <w:i/>
          <w:iCs/>
        </w:rPr>
      </w:pPr>
      <w:r>
        <w:rPr>
          <w:i/>
          <w:iCs/>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pStyle w:val="Normal"/>
        <w:bidi w:val="0"/>
        <w:spacing w:before="120" w:after="280"/>
        <w:rPr>
          <w:i/>
          <w:iCs/>
        </w:rPr>
      </w:pPr>
      <w:r>
        <w:rPr>
          <w:i/>
          <w:iCs/>
        </w:rPr>
        <w:t>Căn cứ Nghị định số 39/2022/NĐ-CP ngày 18 tháng 6 năm 2022 của Chính phủ ban hành Quy chế làm việc của Chính phủ;</w:t>
      </w:r>
    </w:p>
    <w:p>
      <w:pPr>
        <w:pStyle w:val="Normal"/>
        <w:bidi w:val="0"/>
        <w:spacing w:before="120" w:after="280"/>
        <w:rPr>
          <w:i/>
          <w:iCs/>
        </w:rPr>
      </w:pPr>
      <w:r>
        <w:rPr>
          <w:i/>
          <w:iCs/>
        </w:rPr>
        <w:t>Theo đề nghị của Bộ trưởng Bộ Nội vụ tại Tờ trình số 979/TTr-BNV ngày 30 tháng 01 năm 2026;</w:t>
      </w:r>
    </w:p>
    <w:p>
      <w:pPr>
        <w:pStyle w:val="Normal"/>
        <w:bidi w:val="0"/>
        <w:spacing w:before="120" w:after="280"/>
        <w:rPr>
          <w:i/>
          <w:iCs/>
        </w:rPr>
      </w:pPr>
      <w:r>
        <w:rPr>
          <w:i/>
          <w:iCs/>
        </w:rPr>
        <w:t>Trên cơ sở biểu quyết của các Thành viên Chính phủ.</w:t>
      </w:r>
    </w:p>
    <w:p>
      <w:pPr>
        <w:pStyle w:val="Normal"/>
        <w:bidi w:val="0"/>
        <w:spacing w:before="120" w:after="280"/>
        <w:jc w:val="center"/>
        <w:rPr>
          <w:b/>
          <w:bCs/>
          <w:sz w:val="24"/>
        </w:rPr>
      </w:pPr>
      <w:r>
        <w:rPr>
          <w:b/>
          <w:bCs/>
          <w:sz w:val="24"/>
        </w:rPr>
        <w:t>QUYẾT NGHỊ:</w:t>
      </w:r>
    </w:p>
    <w:p>
      <w:pPr>
        <w:pStyle w:val="Normal"/>
        <w:bidi w:val="0"/>
        <w:spacing w:before="120" w:after="280"/>
        <w:rPr/>
      </w:pPr>
      <w:bookmarkStart w:id="2" w:name="dieu_1"/>
      <w:r>
        <w:rPr>
          <w:b/>
          <w:bCs/>
        </w:rPr>
        <w:t xml:space="preserve">Điều 1. </w:t>
      </w:r>
      <w:r>
        <w:rPr/>
        <w:t>Thống nhất trình Ủy ban Thường vụ Quốc hội về việc bổ sung dự án Luật sửa đổi, bổ sung một số điều của 04 Luật thuộc lĩnh vực nội vụ (Bộ luật Lao động năm 2019, Luật Lưu trữ năm 2024, Luật Bình đẳng giới năm 2006 và Luật Hoạt động chữ thập đỏ năm 2008) vào Chương trình lập pháp năm 2026 và theo trình tự, thủ tục rút gọn như đề nghị của Bộ Nội vụ tại Tờ trình số 979/TTr-BNV ngày 30 tháng 01 năm 2026. Bộ Nội vụ chịu trách nhiệm về nội dung, báo cáo đề xuất, bảo đảm đúng quy định của pháp luật.</w:t>
      </w:r>
      <w:bookmarkEnd w:id="2"/>
    </w:p>
    <w:p>
      <w:pPr>
        <w:pStyle w:val="Normal"/>
        <w:bidi w:val="0"/>
        <w:spacing w:before="120" w:after="280"/>
        <w:rPr/>
      </w:pPr>
      <w:bookmarkStart w:id="3" w:name="dieu_2"/>
      <w:r>
        <w:rPr>
          <w:b/>
          <w:bCs/>
        </w:rPr>
        <w:t xml:space="preserve">Điều 2. </w:t>
      </w:r>
      <w:r>
        <w:rPr/>
        <w:t>Giao Bộ trưởng Bộ Nội vụ thừa ủy quyền Thủ tướng Chính phủ, thay mặt Chính phủ ký Tờ trình gửi Ủy ban Thường vụ Quốc hội về việc bổ sung dự án Luật sửa đổi, bổ sung một số điều của 04 Luật thuộc lĩnh vực nội vụ theo đúng quy định của Luật Ban hành văn bản quy phạm pháp luật và văn bản liên quan; chủ động báo cáo, giải trình với Ủy ban Thường vụ Quốc hội và các cơ quan liên quan của Quốc hội theo quy định.</w:t>
      </w:r>
      <w:bookmarkEnd w:id="3"/>
    </w:p>
    <w:p>
      <w:pPr>
        <w:pStyle w:val="Normal"/>
        <w:bidi w:val="0"/>
        <w:spacing w:before="120" w:after="280"/>
        <w:rPr/>
      </w:pPr>
      <w:bookmarkStart w:id="4" w:name="dieu_3"/>
      <w:r>
        <w:rPr>
          <w:b/>
          <w:bCs/>
        </w:rPr>
        <w:t xml:space="preserve">Điều 3. </w:t>
      </w:r>
      <w:r>
        <w:rPr/>
        <w:t>Nghị quyết này có hiệu lực thi hành kể từ ngày ký ban hành.</w:t>
      </w:r>
      <w:bookmarkEnd w:id="4"/>
    </w:p>
    <w:p>
      <w:pPr>
        <w:pStyle w:val="Normal"/>
        <w:bidi w:val="0"/>
        <w:spacing w:before="120" w:after="280"/>
        <w:rPr/>
      </w:pPr>
      <w:bookmarkStart w:id="5" w:name="dieu_4"/>
      <w:r>
        <w:rPr>
          <w:b/>
          <w:bCs/>
        </w:rPr>
        <w:t xml:space="preserve">Điều 4. </w:t>
      </w:r>
      <w:r>
        <w:rPr/>
        <w:t>Bộ trưởng Bộ Nội vụ, các Bộ trưởng, Thủ trưởng cơ quan ngang bộ, cơ quan, tổ chức, cá nhân có liên quan chịu trách nhiệm thi hành Nghị quyết này./.</w:t>
      </w:r>
      <w:bookmarkEnd w:id="5"/>
    </w:p>
    <w:p>
      <w:pPr>
        <w:pStyle w:val="Normal"/>
        <w:bidi w:val="0"/>
        <w:spacing w:before="120" w:after="280"/>
        <w:rPr/>
      </w:pPr>
      <w:r>
        <w:rPr/>
        <w:t> </w:t>
      </w:r>
    </w:p>
    <w:tbl>
      <w:tblPr>
        <w:tblW w:w="5000" w:type="pct"/>
        <w:jc w:val="start"/>
        <w:tblInd w:w="0" w:type="dxa"/>
        <w:tblLayout w:type="fixed"/>
        <w:tblCellMar>
          <w:top w:w="0" w:type="dxa"/>
          <w:start w:w="0" w:type="dxa"/>
          <w:bottom w:w="0" w:type="dxa"/>
          <w:end w:w="0" w:type="dxa"/>
        </w:tblCellMar>
      </w:tblPr>
      <w:tblGrid>
        <w:gridCol w:w="4986"/>
        <w:gridCol w:w="4986"/>
      </w:tblGrid>
      <w:tr>
        <w:trPr/>
        <w:tc>
          <w:tcPr>
            <w:tcW w:w="4986" w:type="dxa"/>
            <w:tcBorders/>
            <w:shd w:fill="FFFFFF" w:val="clear"/>
          </w:tcPr>
          <w:p>
            <w:pPr>
              <w:pStyle w:val="Normal"/>
              <w:bidi w:val="0"/>
              <w:spacing w:before="120" w:after="0"/>
              <w:rPr/>
            </w:pPr>
            <w:r>
              <w:rPr>
                <w:b/>
                <w:bCs/>
                <w:i/>
                <w:iCs/>
              </w:rPr>
              <w:br/>
              <w:t>Nơi nhận:</w:t>
              <w:br/>
            </w:r>
            <w:r>
              <w:rPr>
                <w:sz w:val="16"/>
              </w:rPr>
              <w:t>- Như điều 4;</w:t>
              <w:br/>
              <w:t>- Các đồng chí Thành viên Chính phủ;</w:t>
              <w:br/>
              <w:t>- Các Bộ, cơ quan ngang Bộ, cơ quan thuộc Chính phủ;</w:t>
              <w:br/>
              <w:t>- Văn phòng Quốc hội;</w:t>
              <w:br/>
              <w:t>- VPCP: BTCN, các PCN, Trợ lý TTg, TGĐ Cổng TTĐT, các Vụ: PL, QHĐP;</w:t>
              <w:br/>
              <w:t>- Lưu: VT, KGVX (02)</w:t>
            </w:r>
          </w:p>
        </w:tc>
        <w:tc>
          <w:tcPr>
            <w:tcW w:w="4986" w:type="dxa"/>
            <w:tcBorders/>
            <w:shd w:fill="FFFFFF" w:val="clear"/>
          </w:tcPr>
          <w:p>
            <w:pPr>
              <w:pStyle w:val="Normal"/>
              <w:bidi w:val="0"/>
              <w:spacing w:before="120" w:after="0"/>
              <w:jc w:val="center"/>
              <w:rPr/>
            </w:pPr>
            <w:r>
              <w:rPr>
                <w:b/>
                <w:bCs/>
              </w:rPr>
              <w:t>TM. CHÍNH PHỦ</w:t>
            </w:r>
            <w:r>
              <w:rPr/>
              <w:br/>
            </w:r>
            <w:r>
              <w:rPr>
                <w:b/>
                <w:bCs/>
              </w:rPr>
              <w:t xml:space="preserve">KT. THỦ TƯỚNG </w:t>
              <w:br/>
              <w:t>PHÓ THỦ TƯỚNG</w:t>
            </w:r>
            <w:r>
              <w:rPr/>
              <w:br/>
              <w:br/>
              <w:br/>
              <w:br/>
              <w:br/>
            </w:r>
            <w:r>
              <w:rPr>
                <w:b/>
                <w:bCs/>
              </w:rPr>
              <w:t>Phạm Thị Thanh Trà</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