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Y TẾ</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569/QĐ-BYT</w:t>
            </w:r>
          </w:p>
        </w:tc>
        <w:tc>
          <w:tcPr>
            <w:tcW w:w="6607" w:type="dxa"/>
            <w:tcBorders/>
          </w:tcPr>
          <w:p>
            <w:pPr>
              <w:pStyle w:val="Normal"/>
              <w:bidi w:val="0"/>
              <w:spacing w:before="120" w:after="0"/>
              <w:jc w:val="end"/>
              <w:rPr/>
            </w:pPr>
            <w:r>
              <w:rPr>
                <w:i/>
                <w:iCs/>
              </w:rPr>
              <w:t>Hà Nội, ngày 05 tháng 3 năm 2026</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CÔNG BỐ THỦ TỤC HÀNH CHÍNH BỊ BÃI BỎ LĨNH VỰC PHÒNG BỆNH QUY ĐỊNH TẠI THÔNG TƯ SỐ 03/2026/TT-BYT NGÀY 12 THÁNG 02 NĂM 2026 CỦA BỘ TRƯỞNG BỘ Y TẾ BÃI BỎ MỘT SỐ VĂN BẢN QUY PHẠM PHÁP LUẬT DO BỘ TRƯỞNG BỘ Y TẾ BAN HÀNH</w:t>
      </w:r>
      <w:bookmarkEnd w:id="1"/>
    </w:p>
    <w:p>
      <w:pPr>
        <w:pStyle w:val="Normal"/>
        <w:bidi w:val="0"/>
        <w:spacing w:before="120" w:after="280"/>
        <w:jc w:val="center"/>
        <w:rPr>
          <w:b/>
          <w:bCs/>
          <w:sz w:val="24"/>
        </w:rPr>
      </w:pPr>
      <w:r>
        <w:rPr>
          <w:b/>
          <w:bCs/>
          <w:sz w:val="24"/>
        </w:rPr>
        <w:t>BỘ TRƯỞNG BỘ Y TẾ</w:t>
      </w:r>
    </w:p>
    <w:p>
      <w:pPr>
        <w:pStyle w:val="Normal"/>
        <w:bidi w:val="0"/>
        <w:spacing w:before="120" w:after="280"/>
        <w:rPr>
          <w:i/>
          <w:iCs/>
        </w:rPr>
      </w:pPr>
      <w:r>
        <w:rPr>
          <w:i/>
          <w:iCs/>
        </w:rPr>
        <w:t>Căn cứ Nghị định số 42/2025/NĐ-CP ngày 27 tháng 02 năm 2025 của Chính phủ quy định chức năng, nhiệm vụ, quyền hạn và cơ cấu tổ chức của Bộ Y tế;</w:t>
      </w:r>
    </w:p>
    <w:p>
      <w:pPr>
        <w:pStyle w:val="Normal"/>
        <w:bidi w:val="0"/>
        <w:spacing w:before="120" w:after="280"/>
        <w:rPr>
          <w:i/>
          <w:iCs/>
        </w:rPr>
      </w:pPr>
      <w:r>
        <w:rPr>
          <w:i/>
          <w:iCs/>
        </w:rPr>
        <w:t>Căn cứ Nghị định số 63/2010/NĐ-CP ngày 08 tháng 6 năm 2010 của Chính phủ về kiểm soát thủ tục hành chính; Nghị định số 48/2013/NĐ-CP ngày 14 tháng 5 năm 2013 của Chính phủ về sửa đổi, bổ sung một số Điều của các Nghị định liên quan đến kiểm soát thủ tục hành chính; Nghị định số 92/2017/NĐ-CP ngày 07 tháng 8 năm 2017 của Chính phủ sửa đổi, bổ sung một số điều của các Nghị định liên quan đến kiểm soát thủ tục hành chính;</w:t>
      </w:r>
    </w:p>
    <w:p>
      <w:pPr>
        <w:pStyle w:val="Normal"/>
        <w:bidi w:val="0"/>
        <w:spacing w:before="120" w:after="280"/>
        <w:rPr>
          <w:i/>
          <w:iCs/>
        </w:rPr>
      </w:pPr>
      <w:r>
        <w:rPr>
          <w:i/>
          <w:iCs/>
        </w:rPr>
        <w:t>Căn cứ Thông tư số 02/2017/TT-VPCP ngày 31 tháng 10 năm 2017 của Văn phòng Chính phủ hướng dẫn về nghiệp vụ kiểm soát thủ tục hành chính;</w:t>
      </w:r>
    </w:p>
    <w:p>
      <w:pPr>
        <w:pStyle w:val="Normal"/>
        <w:bidi w:val="0"/>
        <w:spacing w:before="120" w:after="280"/>
        <w:rPr>
          <w:i/>
          <w:iCs/>
        </w:rPr>
      </w:pPr>
      <w:r>
        <w:rPr>
          <w:i/>
          <w:iCs/>
        </w:rPr>
        <w:t>Căn cứ Thông tư số 03/2026/TT-BYT ngày 12 tháng 02 năm 2026 của Bộ trưởng Bộ Y tế bãi bỏ một số văn bản quy phạm pháp luật do Bộ trưởng Bộ Y tế ban hành;</w:t>
      </w:r>
    </w:p>
    <w:p>
      <w:pPr>
        <w:pStyle w:val="Normal"/>
        <w:bidi w:val="0"/>
        <w:spacing w:before="120" w:after="280"/>
        <w:rPr>
          <w:i/>
          <w:iCs/>
        </w:rPr>
      </w:pPr>
      <w:r>
        <w:rPr>
          <w:i/>
          <w:iCs/>
        </w:rPr>
        <w:t>Theo đề nghị của Cục trưởng Cục Phòng bệnh.</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Công bố kèm theo Quyết định này 05 (năm) thủ tục hành chính bị bãi bỏ lĩnh vực Phòng bệnh thuộc phạm vi quản lý của Bộ Y tế quy định tại Thông tư số 03/2026/TT-BYT ngày 12 tháng 02 năm 2026 của Bộ trưởng Bộ Y tế bãi bỏ một số văn bản quy phạm pháp luật do Bộ trưởng Bộ Y tế ban hành.</w:t>
      </w:r>
      <w:bookmarkEnd w:id="2"/>
    </w:p>
    <w:p>
      <w:pPr>
        <w:pStyle w:val="Normal"/>
        <w:bidi w:val="0"/>
        <w:spacing w:before="120" w:after="280"/>
        <w:rPr/>
      </w:pPr>
      <w:bookmarkStart w:id="3" w:name="dieu_2"/>
      <w:r>
        <w:rPr>
          <w:b/>
          <w:bCs/>
        </w:rPr>
        <w:t xml:space="preserve">Điều 2. </w:t>
      </w:r>
      <w:r>
        <w:rPr/>
        <w:t>Quyết định này có hiệu lực kể từ ngày Thông tư số 03/2026/TT-BYT có hiệu lực thi hành.</w:t>
      </w:r>
      <w:bookmarkEnd w:id="3"/>
    </w:p>
    <w:p>
      <w:pPr>
        <w:pStyle w:val="Normal"/>
        <w:bidi w:val="0"/>
        <w:spacing w:before="120" w:after="280"/>
        <w:rPr/>
      </w:pPr>
      <w:r>
        <w:rPr/>
        <w:t>Bãi bỏ Quyết định số 3614/QĐ-BYT ngày 30 tháng 11 năm 2024 của Bộ trưởng Bộ Y tế về công bố thủ tục hành chính được sửa đổi, bổ sung trong lĩnh vực Y tế dự phòng quy định tại Thông tư số 20/2024/TT-BYT ngày 14 tháng 10 năm 2024 của Bộ trưởng Bộ Y tế thuộc lĩnh vực quản lý của Bộ Y tế.</w:t>
      </w:r>
    </w:p>
    <w:p>
      <w:pPr>
        <w:pStyle w:val="Normal"/>
        <w:bidi w:val="0"/>
        <w:spacing w:before="120" w:after="280"/>
        <w:rPr/>
      </w:pPr>
      <w:r>
        <w:rPr/>
        <w:t>Bãi bỏ thủ tục hành chính về “Cấp lại giấy xác nhận nội dung quảng cáo do Cục Quản lý Môi trường y tế đã cấp trong trường hợp bị mất hoặc hư hỏng” quy định tại Quyết định số 1201/QĐ-BYT ngày 09 tháng 4 năm 2025 của Bộ trưởng Bộ Y tế về việc công bố thủ tục hành chính được sửa đổi, bổ sung trong lĩnh vực Y tế dự phòng thuộc phạm vi chức năng quản lý của Bộ Y tế.</w:t>
      </w:r>
    </w:p>
    <w:p>
      <w:pPr>
        <w:pStyle w:val="Normal"/>
        <w:bidi w:val="0"/>
        <w:spacing w:before="120" w:after="280"/>
        <w:rPr/>
      </w:pPr>
      <w:bookmarkStart w:id="4" w:name="dieu_3"/>
      <w:r>
        <w:rPr>
          <w:b/>
          <w:bCs/>
        </w:rPr>
        <w:t xml:space="preserve">Điều 3. </w:t>
      </w:r>
      <w:r>
        <w:rPr/>
        <w:t>Các Ông, Bà: Chánh Văn phòng Bộ; Cục trưởng Cục Phòng bệnh; Thủ trưởng các Vụ, Cục; Thủ trưởng các Sở Y tế các tỉnh, thành phố trực thuộc Trung ương và Thủ trưởng các đơn vị, cá nhân có liên quan chịu trách nhiệm thi hành Quyết định này./.</w:t>
      </w:r>
      <w:bookmarkEnd w:id="4"/>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4962"/>
        <w:gridCol w:w="5010"/>
      </w:tblGrid>
      <w:tr>
        <w:trPr/>
        <w:tc>
          <w:tcPr>
            <w:tcW w:w="4962" w:type="dxa"/>
            <w:tcBorders/>
          </w:tcPr>
          <w:p>
            <w:pPr>
              <w:pStyle w:val="Normal"/>
              <w:bidi w:val="0"/>
              <w:spacing w:before="120" w:after="0"/>
              <w:rPr/>
            </w:pPr>
            <w:r>
              <w:rPr>
                <w:b/>
                <w:bCs/>
                <w:i/>
                <w:iCs/>
              </w:rPr>
              <w:br/>
              <w:t>Nơi nhận:</w:t>
              <w:br/>
            </w:r>
            <w:r>
              <w:rPr>
                <w:sz w:val="16"/>
              </w:rPr>
              <w:t>- Như Điều 3;</w:t>
              <w:br/>
              <w:t>- Bộ trưởng (để báo cáo);</w:t>
              <w:br/>
              <w:t>- Các đ/c Thứ trưởng;</w:t>
              <w:br/>
              <w:t>- Cục Kiểm soát thủ tục hành chính -Bộ Tư pháp;</w:t>
              <w:br/>
              <w:t>- UBND tỉnh, thành phố trực thuộc TƯ;</w:t>
              <w:br/>
              <w:t>- Sở Y tế tỉnh, thành phố trực thuộc TƯ;</w:t>
              <w:br/>
              <w:t>- Cổng Thông tin điện tử - Bộ Y tế;</w:t>
              <w:br/>
              <w:t>- Phòng KSTTHC -VPB;</w:t>
              <w:br/>
              <w:t>- Lưu: VT, PB.</w:t>
            </w:r>
          </w:p>
        </w:tc>
        <w:tc>
          <w:tcPr>
            <w:tcW w:w="5010" w:type="dxa"/>
            <w:tcBorders/>
          </w:tcPr>
          <w:p>
            <w:pPr>
              <w:pStyle w:val="Normal"/>
              <w:bidi w:val="0"/>
              <w:spacing w:before="120" w:after="0"/>
              <w:jc w:val="center"/>
              <w:rPr>
                <w:b/>
                <w:bCs/>
              </w:rPr>
            </w:pPr>
            <w:r>
              <w:rPr>
                <w:b/>
                <w:bCs/>
              </w:rPr>
              <w:t xml:space="preserve">KT. BỘ TRƯỞNG </w:t>
              <w:br/>
              <w:t>THỨ TRƯỞNG</w:t>
              <w:br/>
              <w:br/>
              <w:br/>
              <w:br/>
              <w:br/>
              <w:t>Nguyễn Thị Liên Hương</w:t>
            </w:r>
          </w:p>
        </w:tc>
      </w:tr>
    </w:tbl>
    <w:p>
      <w:pPr>
        <w:pStyle w:val="Normal"/>
        <w:bidi w:val="0"/>
        <w:spacing w:before="120" w:after="280"/>
        <w:rPr/>
      </w:pPr>
      <w:r>
        <w:rPr/>
        <w:t> </w:t>
      </w:r>
    </w:p>
    <w:p>
      <w:pPr>
        <w:pStyle w:val="Normal"/>
        <w:bidi w:val="0"/>
        <w:spacing w:before="120" w:after="280"/>
        <w:jc w:val="center"/>
        <w:rPr>
          <w:b/>
          <w:bCs/>
          <w:sz w:val="24"/>
        </w:rPr>
      </w:pPr>
      <w:bookmarkStart w:id="5" w:name="chuong_pl"/>
      <w:r>
        <w:rPr>
          <w:b/>
          <w:bCs/>
          <w:sz w:val="24"/>
        </w:rPr>
        <w:t>PHỤ LỤC</w:t>
      </w:r>
      <w:bookmarkEnd w:id="5"/>
    </w:p>
    <w:p>
      <w:pPr>
        <w:pStyle w:val="Normal"/>
        <w:bidi w:val="0"/>
        <w:spacing w:before="120" w:after="280"/>
        <w:jc w:val="center"/>
        <w:rPr/>
      </w:pPr>
      <w:bookmarkStart w:id="6" w:name="chuong_pl_name"/>
      <w:r>
        <w:rPr/>
        <w:t>THỦ TỤC HÀNH CHÍNH BỊ BÃI BỎ LĨNH VỰC PHÒNG BỆNH THUỘC PHẠM VI QUẢN LÝ CỦA BỘ Y TẾ</w:t>
      </w:r>
      <w:bookmarkEnd w:id="6"/>
      <w:r>
        <w:rPr/>
        <w:br/>
      </w:r>
      <w:r>
        <w:rPr>
          <w:i/>
          <w:iCs/>
        </w:rPr>
        <w:t>(Ban hành kèm theo Quyết định số 569/QĐ-BYT ngày 05 tháng 3 năm 2026 của Bộ trưởng Bộ Y tế)</w:t>
      </w:r>
    </w:p>
    <w:tbl>
      <w:tblPr>
        <w:tblW w:w="5000" w:type="pct"/>
        <w:jc w:val="start"/>
        <w:tblInd w:w="-10" w:type="dxa"/>
        <w:tblLayout w:type="fixed"/>
        <w:tblCellMar>
          <w:top w:w="0" w:type="dxa"/>
          <w:start w:w="0" w:type="dxa"/>
          <w:bottom w:w="0" w:type="dxa"/>
          <w:end w:w="0" w:type="dxa"/>
        </w:tblCellMar>
      </w:tblPr>
      <w:tblGrid>
        <w:gridCol w:w="627"/>
        <w:gridCol w:w="1549"/>
        <w:gridCol w:w="2754"/>
        <w:gridCol w:w="2954"/>
        <w:gridCol w:w="833"/>
        <w:gridCol w:w="1255"/>
      </w:tblGrid>
      <w:tr>
        <w:trPr/>
        <w:tc>
          <w:tcPr>
            <w:tcW w:w="62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154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Số hồ sơ TTHC</w:t>
            </w:r>
          </w:p>
        </w:tc>
        <w:tc>
          <w:tcPr>
            <w:tcW w:w="275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thủ tục hành chính</w:t>
            </w:r>
          </w:p>
        </w:tc>
        <w:tc>
          <w:tcPr>
            <w:tcW w:w="295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VBQPPL quy định việc bãi bỏ thủ tục hành chính</w:t>
            </w:r>
          </w:p>
        </w:tc>
        <w:tc>
          <w:tcPr>
            <w:tcW w:w="83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Lĩnh vực</w:t>
            </w:r>
          </w:p>
        </w:tc>
        <w:tc>
          <w:tcPr>
            <w:tcW w:w="125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thực hiện</w:t>
            </w:r>
          </w:p>
        </w:tc>
      </w:tr>
      <w:tr>
        <w:trPr/>
        <w:tc>
          <w:tcPr>
            <w:tcW w:w="9972" w:type="dxa"/>
            <w:gridSpan w:val="6"/>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A. Thủ tục hành chính cấp trung ươngA. Thủ tục hành chính cấp trung ươngA. Thủ tục hành chính cấp trung ươngA. Thủ tục hành chính cấp trung ươngA. Thủ tục hành chính cấp trung ươngA. Thủ tục hành chính cấp trung ương</w:t>
            </w:r>
          </w:p>
        </w:tc>
      </w:tr>
      <w:tr>
        <w:trPr/>
        <w:tc>
          <w:tcPr>
            <w:tcW w:w="62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549" w:type="dxa"/>
            <w:tcBorders>
              <w:bottom w:val="single" w:sz="8" w:space="0" w:color="000000"/>
              <w:end w:val="single" w:sz="8" w:space="0" w:color="000000"/>
            </w:tcBorders>
            <w:vAlign w:val="center"/>
          </w:tcPr>
          <w:p>
            <w:pPr>
              <w:pStyle w:val="Normal"/>
              <w:bidi w:val="0"/>
              <w:spacing w:before="120" w:after="0"/>
              <w:jc w:val="center"/>
              <w:rPr/>
            </w:pPr>
            <w:r>
              <w:rPr/>
              <w:t>1.001189</w:t>
            </w:r>
          </w:p>
        </w:tc>
        <w:tc>
          <w:tcPr>
            <w:tcW w:w="2754" w:type="dxa"/>
            <w:tcBorders>
              <w:bottom w:val="single" w:sz="8" w:space="0" w:color="000000"/>
              <w:end w:val="single" w:sz="8" w:space="0" w:color="000000"/>
            </w:tcBorders>
            <w:vAlign w:val="center"/>
          </w:tcPr>
          <w:p>
            <w:pPr>
              <w:pStyle w:val="Normal"/>
              <w:bidi w:val="0"/>
              <w:spacing w:before="120" w:after="0"/>
              <w:rPr/>
            </w:pPr>
            <w:r>
              <w:rPr/>
              <w:t>Cấp lại giấy xác nhận nội dung quảng cáo do Cục Quản lý Môi trường đã cấp trong trường hợp bị mất hoặc hư hỏng</w:t>
            </w:r>
          </w:p>
        </w:tc>
        <w:tc>
          <w:tcPr>
            <w:tcW w:w="2954" w:type="dxa"/>
            <w:tcBorders>
              <w:bottom w:val="single" w:sz="8" w:space="0" w:color="000000"/>
              <w:end w:val="single" w:sz="8" w:space="0" w:color="000000"/>
            </w:tcBorders>
            <w:vAlign w:val="center"/>
          </w:tcPr>
          <w:p>
            <w:pPr>
              <w:pStyle w:val="Normal"/>
              <w:bidi w:val="0"/>
              <w:spacing w:before="120" w:after="0"/>
              <w:rPr/>
            </w:pPr>
            <w:r>
              <w:rPr/>
              <w:t>Thông tư số 03/2026/TT-BYT ngày 12 tháng 02 năm 2026 của Bộ trưởng Bộ Y tế bãi bỏ một số văn bản quy phạm pháp luật do Bộ trưởng Bộ Y tế ban hành</w:t>
            </w:r>
          </w:p>
        </w:tc>
        <w:tc>
          <w:tcPr>
            <w:tcW w:w="833" w:type="dxa"/>
            <w:tcBorders>
              <w:bottom w:val="single" w:sz="8" w:space="0" w:color="000000"/>
              <w:end w:val="single" w:sz="8" w:space="0" w:color="000000"/>
            </w:tcBorders>
            <w:vAlign w:val="center"/>
          </w:tcPr>
          <w:p>
            <w:pPr>
              <w:pStyle w:val="Normal"/>
              <w:bidi w:val="0"/>
              <w:spacing w:before="120" w:after="0"/>
              <w:jc w:val="center"/>
              <w:rPr/>
            </w:pPr>
            <w:r>
              <w:rPr/>
              <w:t>Phòng bệnh</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Cục Phòng bệnh</w:t>
            </w:r>
          </w:p>
        </w:tc>
      </w:tr>
      <w:tr>
        <w:trPr/>
        <w:tc>
          <w:tcPr>
            <w:tcW w:w="9972" w:type="dxa"/>
            <w:gridSpan w:val="6"/>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B. Thủ tục hành chính cấp tỉnhB. Thủ tục hành chính cấp tỉnhB. Thủ tục hành chính cấp tỉnhB. Thủ tục hành chính cấp tỉnhB. Thủ tục hành chính cấp tỉnhB. Thủ tục hành chính cấp tỉnh</w:t>
            </w:r>
          </w:p>
        </w:tc>
      </w:tr>
      <w:tr>
        <w:trPr/>
        <w:tc>
          <w:tcPr>
            <w:tcW w:w="62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549" w:type="dxa"/>
            <w:tcBorders>
              <w:bottom w:val="single" w:sz="8" w:space="0" w:color="000000"/>
              <w:end w:val="single" w:sz="8" w:space="0" w:color="000000"/>
            </w:tcBorders>
            <w:vAlign w:val="center"/>
          </w:tcPr>
          <w:p>
            <w:pPr>
              <w:pStyle w:val="Normal"/>
              <w:bidi w:val="0"/>
              <w:spacing w:before="120" w:after="0"/>
              <w:jc w:val="center"/>
              <w:rPr/>
            </w:pPr>
            <w:r>
              <w:rPr/>
              <w:t>1.002564</w:t>
            </w:r>
          </w:p>
        </w:tc>
        <w:tc>
          <w:tcPr>
            <w:tcW w:w="2754" w:type="dxa"/>
            <w:tcBorders>
              <w:bottom w:val="single" w:sz="8" w:space="0" w:color="000000"/>
              <w:end w:val="single" w:sz="8" w:space="0" w:color="000000"/>
            </w:tcBorders>
            <w:vAlign w:val="center"/>
          </w:tcPr>
          <w:p>
            <w:pPr>
              <w:pStyle w:val="Normal"/>
              <w:bidi w:val="0"/>
              <w:spacing w:before="120" w:after="0"/>
              <w:rPr/>
            </w:pPr>
            <w:r>
              <w:rPr/>
              <w:t>Cấp giấy xác nhận nội dung quảng cáo hóa chất, chế phẩm diệt côn trùng, diệt khuẩn dùng trong lĩnh vực gia dụng và y tế</w:t>
            </w:r>
          </w:p>
        </w:tc>
        <w:tc>
          <w:tcPr>
            <w:tcW w:w="2954" w:type="dxa"/>
            <w:tcBorders>
              <w:bottom w:val="single" w:sz="8" w:space="0" w:color="000000"/>
              <w:end w:val="single" w:sz="8" w:space="0" w:color="000000"/>
            </w:tcBorders>
            <w:vAlign w:val="center"/>
          </w:tcPr>
          <w:p>
            <w:pPr>
              <w:pStyle w:val="Normal"/>
              <w:bidi w:val="0"/>
              <w:spacing w:before="120" w:after="0"/>
              <w:rPr/>
            </w:pPr>
            <w:r>
              <w:rPr/>
              <w:t>Thông tư số 03/2026/TT-BYT ngày 12 tháng 02 năm 2026 của Bộ trưởng Bộ Y tế bãi bỏ một số văn bản quy phạm pháp luật do Bộ trưởng Bộ Y tế ban hành</w:t>
            </w:r>
          </w:p>
        </w:tc>
        <w:tc>
          <w:tcPr>
            <w:tcW w:w="833" w:type="dxa"/>
            <w:tcBorders>
              <w:bottom w:val="single" w:sz="8" w:space="0" w:color="000000"/>
              <w:end w:val="single" w:sz="8" w:space="0" w:color="000000"/>
            </w:tcBorders>
            <w:vAlign w:val="center"/>
          </w:tcPr>
          <w:p>
            <w:pPr>
              <w:pStyle w:val="Normal"/>
              <w:bidi w:val="0"/>
              <w:spacing w:before="120" w:after="0"/>
              <w:jc w:val="center"/>
              <w:rPr/>
            </w:pPr>
            <w:r>
              <w:rPr/>
              <w:t>Phòng bệnh</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Sở Y tế</w:t>
            </w:r>
          </w:p>
        </w:tc>
      </w:tr>
      <w:tr>
        <w:trPr/>
        <w:tc>
          <w:tcPr>
            <w:tcW w:w="62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549" w:type="dxa"/>
            <w:tcBorders>
              <w:bottom w:val="single" w:sz="8" w:space="0" w:color="000000"/>
              <w:end w:val="single" w:sz="8" w:space="0" w:color="000000"/>
            </w:tcBorders>
            <w:vAlign w:val="center"/>
          </w:tcPr>
          <w:p>
            <w:pPr>
              <w:pStyle w:val="Normal"/>
              <w:bidi w:val="0"/>
              <w:spacing w:before="120" w:after="0"/>
              <w:jc w:val="center"/>
              <w:rPr/>
            </w:pPr>
            <w:r>
              <w:rPr/>
              <w:t>1.001189</w:t>
            </w:r>
          </w:p>
        </w:tc>
        <w:tc>
          <w:tcPr>
            <w:tcW w:w="2754" w:type="dxa"/>
            <w:tcBorders>
              <w:bottom w:val="single" w:sz="8" w:space="0" w:color="000000"/>
              <w:end w:val="single" w:sz="8" w:space="0" w:color="000000"/>
            </w:tcBorders>
            <w:vAlign w:val="center"/>
          </w:tcPr>
          <w:p>
            <w:pPr>
              <w:pStyle w:val="Normal"/>
              <w:bidi w:val="0"/>
              <w:spacing w:before="120" w:after="0"/>
              <w:rPr/>
            </w:pPr>
            <w:r>
              <w:rPr/>
              <w:t>Cấp lại giấy xác nhận nội dung quảng cáo hóa chất, chế phẩm diệt côn trùng, diệt khuẩn dùng trong lĩnh vực gia dụng và y tế trong trường hợp bị mất hoặc hư hỏng</w:t>
            </w:r>
          </w:p>
        </w:tc>
        <w:tc>
          <w:tcPr>
            <w:tcW w:w="2954" w:type="dxa"/>
            <w:tcBorders>
              <w:bottom w:val="single" w:sz="8" w:space="0" w:color="000000"/>
              <w:end w:val="single" w:sz="8" w:space="0" w:color="000000"/>
            </w:tcBorders>
            <w:vAlign w:val="center"/>
          </w:tcPr>
          <w:p>
            <w:pPr>
              <w:pStyle w:val="Normal"/>
              <w:bidi w:val="0"/>
              <w:spacing w:before="120" w:after="0"/>
              <w:rPr/>
            </w:pPr>
            <w:r>
              <w:rPr/>
              <w:t>Thông tư số 03/2026/TT-BYT ngày 12 tháng 02 năm 2026 của Bộ trưởng Bộ Y tế bãi bỏ một số văn bản quy phạm pháp luật do Bộ trưởng Bộ Y tế ban hành</w:t>
            </w:r>
          </w:p>
        </w:tc>
        <w:tc>
          <w:tcPr>
            <w:tcW w:w="833" w:type="dxa"/>
            <w:tcBorders>
              <w:bottom w:val="single" w:sz="8" w:space="0" w:color="000000"/>
              <w:end w:val="single" w:sz="8" w:space="0" w:color="000000"/>
            </w:tcBorders>
            <w:vAlign w:val="center"/>
          </w:tcPr>
          <w:p>
            <w:pPr>
              <w:pStyle w:val="Normal"/>
              <w:bidi w:val="0"/>
              <w:spacing w:before="120" w:after="0"/>
              <w:jc w:val="center"/>
              <w:rPr/>
            </w:pPr>
            <w:r>
              <w:rPr/>
              <w:t>Phòng bệnh</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Sở Y tế</w:t>
            </w:r>
          </w:p>
        </w:tc>
      </w:tr>
      <w:tr>
        <w:trPr/>
        <w:tc>
          <w:tcPr>
            <w:tcW w:w="62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1549" w:type="dxa"/>
            <w:tcBorders>
              <w:bottom w:val="single" w:sz="8" w:space="0" w:color="000000"/>
              <w:end w:val="single" w:sz="8" w:space="0" w:color="000000"/>
            </w:tcBorders>
            <w:vAlign w:val="center"/>
          </w:tcPr>
          <w:p>
            <w:pPr>
              <w:pStyle w:val="Normal"/>
              <w:bidi w:val="0"/>
              <w:spacing w:before="120" w:after="0"/>
              <w:jc w:val="center"/>
              <w:rPr/>
            </w:pPr>
            <w:r>
              <w:rPr/>
              <w:t>1.001178</w:t>
            </w:r>
          </w:p>
        </w:tc>
        <w:tc>
          <w:tcPr>
            <w:tcW w:w="2754" w:type="dxa"/>
            <w:tcBorders>
              <w:bottom w:val="single" w:sz="8" w:space="0" w:color="000000"/>
              <w:end w:val="single" w:sz="8" w:space="0" w:color="000000"/>
            </w:tcBorders>
            <w:vAlign w:val="center"/>
          </w:tcPr>
          <w:p>
            <w:pPr>
              <w:pStyle w:val="Normal"/>
              <w:bidi w:val="0"/>
              <w:spacing w:before="120" w:after="0"/>
              <w:rPr/>
            </w:pPr>
            <w:r>
              <w:rPr/>
              <w:t>Cấp lại giấy xác nhận nội dung quảng cáo hóa chất, chế phẩm diệt côn trùng, diệt khuẩn dùng trong lĩnh vực gia dụng và y tế trong trường hợp hết hiệu lực tại Khoản 2 Điều 21 Thông tư số 09/2015/TT-BYT</w:t>
            </w:r>
          </w:p>
        </w:tc>
        <w:tc>
          <w:tcPr>
            <w:tcW w:w="2954" w:type="dxa"/>
            <w:tcBorders>
              <w:bottom w:val="single" w:sz="8" w:space="0" w:color="000000"/>
              <w:end w:val="single" w:sz="8" w:space="0" w:color="000000"/>
            </w:tcBorders>
            <w:vAlign w:val="center"/>
          </w:tcPr>
          <w:p>
            <w:pPr>
              <w:pStyle w:val="Normal"/>
              <w:bidi w:val="0"/>
              <w:spacing w:before="120" w:after="0"/>
              <w:rPr/>
            </w:pPr>
            <w:r>
              <w:rPr/>
              <w:t>Thông tư số 03/2026/TT-BYT ngày 12 tháng 02 năm 2026 của Bộ trưởng Bộ Y tế bãi bỏ một số văn bản quy phạm pháp luật do Bộ trưởng Bộ Y tế ban hành</w:t>
            </w:r>
          </w:p>
        </w:tc>
        <w:tc>
          <w:tcPr>
            <w:tcW w:w="833" w:type="dxa"/>
            <w:tcBorders>
              <w:bottom w:val="single" w:sz="8" w:space="0" w:color="000000"/>
              <w:end w:val="single" w:sz="8" w:space="0" w:color="000000"/>
            </w:tcBorders>
            <w:vAlign w:val="center"/>
          </w:tcPr>
          <w:p>
            <w:pPr>
              <w:pStyle w:val="Normal"/>
              <w:bidi w:val="0"/>
              <w:spacing w:before="120" w:after="0"/>
              <w:jc w:val="center"/>
              <w:rPr/>
            </w:pPr>
            <w:r>
              <w:rPr/>
              <w:t>Phòng bệnh</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Sở Y tế</w:t>
            </w:r>
          </w:p>
        </w:tc>
      </w:tr>
      <w:tr>
        <w:trPr/>
        <w:tc>
          <w:tcPr>
            <w:tcW w:w="62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1549" w:type="dxa"/>
            <w:tcBorders>
              <w:bottom w:val="single" w:sz="8" w:space="0" w:color="000000"/>
              <w:end w:val="single" w:sz="8" w:space="0" w:color="000000"/>
            </w:tcBorders>
            <w:vAlign w:val="center"/>
          </w:tcPr>
          <w:p>
            <w:pPr>
              <w:pStyle w:val="Normal"/>
              <w:bidi w:val="0"/>
              <w:spacing w:before="120" w:after="0"/>
              <w:jc w:val="center"/>
              <w:rPr/>
            </w:pPr>
            <w:r>
              <w:rPr/>
              <w:t>1.001114</w:t>
            </w:r>
          </w:p>
        </w:tc>
        <w:tc>
          <w:tcPr>
            <w:tcW w:w="2754" w:type="dxa"/>
            <w:tcBorders>
              <w:bottom w:val="single" w:sz="8" w:space="0" w:color="000000"/>
              <w:end w:val="single" w:sz="8" w:space="0" w:color="000000"/>
            </w:tcBorders>
            <w:vAlign w:val="center"/>
          </w:tcPr>
          <w:p>
            <w:pPr>
              <w:pStyle w:val="Normal"/>
              <w:bidi w:val="0"/>
              <w:spacing w:before="120" w:after="0"/>
              <w:rPr/>
            </w:pPr>
            <w:r>
              <w:rPr/>
              <w:t>Cấp lại giấy xác nhận nội dung quảng cáo khi có thay đổi về tên, địa chỉ của tổ chức, cá nhân chịu trách nhiệm và không thay đổi nội dung quảng cáo</w:t>
            </w:r>
          </w:p>
        </w:tc>
        <w:tc>
          <w:tcPr>
            <w:tcW w:w="2954" w:type="dxa"/>
            <w:tcBorders>
              <w:bottom w:val="single" w:sz="8" w:space="0" w:color="000000"/>
              <w:end w:val="single" w:sz="8" w:space="0" w:color="000000"/>
            </w:tcBorders>
            <w:vAlign w:val="center"/>
          </w:tcPr>
          <w:p>
            <w:pPr>
              <w:pStyle w:val="Normal"/>
              <w:bidi w:val="0"/>
              <w:spacing w:before="120" w:after="0"/>
              <w:rPr/>
            </w:pPr>
            <w:r>
              <w:rPr/>
              <w:t>Thông tư số 03/2026/TT-BYT ngày 12 tháng 02 năm 2026 của Bộ trưởng Bộ Y tế bãi bỏ một số văn bản quy phạm pháp luật do Bộ trưởng Bộ Y tế ban hành</w:t>
            </w:r>
          </w:p>
        </w:tc>
        <w:tc>
          <w:tcPr>
            <w:tcW w:w="833" w:type="dxa"/>
            <w:tcBorders>
              <w:bottom w:val="single" w:sz="8" w:space="0" w:color="000000"/>
              <w:end w:val="single" w:sz="8" w:space="0" w:color="000000"/>
            </w:tcBorders>
            <w:vAlign w:val="center"/>
          </w:tcPr>
          <w:p>
            <w:pPr>
              <w:pStyle w:val="Normal"/>
              <w:bidi w:val="0"/>
              <w:spacing w:before="120" w:after="0"/>
              <w:jc w:val="center"/>
              <w:rPr/>
            </w:pPr>
            <w:r>
              <w:rPr/>
              <w:t>Phòng bệnh</w:t>
            </w:r>
          </w:p>
        </w:tc>
        <w:tc>
          <w:tcPr>
            <w:tcW w:w="1255" w:type="dxa"/>
            <w:tcBorders>
              <w:bottom w:val="single" w:sz="8" w:space="0" w:color="000000"/>
              <w:end w:val="single" w:sz="8" w:space="0" w:color="000000"/>
            </w:tcBorders>
            <w:vAlign w:val="center"/>
          </w:tcPr>
          <w:p>
            <w:pPr>
              <w:pStyle w:val="Normal"/>
              <w:bidi w:val="0"/>
              <w:spacing w:before="120" w:after="0"/>
              <w:jc w:val="center"/>
              <w:rPr/>
            </w:pPr>
            <w:r>
              <w:rPr/>
              <w:t>Sở Y tế</w:t>
            </w:r>
          </w:p>
        </w:tc>
      </w:tr>
    </w:tbl>
    <w:p>
      <w:pPr>
        <w:pStyle w:val="Normal"/>
        <w:bidi w:val="0"/>
        <w:spacing w:before="120" w:after="280"/>
        <w:rPr/>
      </w:pPr>
      <w:r>
        <w:rPr/>
        <w:t> </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