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BỘ GIÁO DỤC VÀ ĐÀO TẠO</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618/QĐ-BGDĐT</w:t>
            </w:r>
          </w:p>
        </w:tc>
        <w:tc>
          <w:tcPr>
            <w:tcW w:w="6607" w:type="dxa"/>
            <w:tcBorders/>
          </w:tcPr>
          <w:p>
            <w:pPr>
              <w:pStyle w:val="Normal"/>
              <w:bidi w:val="0"/>
              <w:spacing w:before="0" w:after="0"/>
              <w:jc w:val="end"/>
              <w:rPr/>
            </w:pPr>
            <w:r>
              <w:rPr>
                <w:i/>
                <w:iCs/>
              </w:rPr>
              <w:t>Hà Nội, ngày 18 tháng 03 năm 2026</w:t>
            </w:r>
          </w:p>
        </w:tc>
      </w:tr>
    </w:tbl>
    <w:p>
      <w:pPr>
        <w:pStyle w:val="Normal"/>
        <w:bidi w:val="0"/>
        <w:spacing w:before="120" w:after="28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VỀ VIỆC CÔNG BỐ THỦ TỤC HÀNH CHÍNH ĐƯỢC THAY THẾ LĨNH VỰC THI, TUYỂN SINH THUỘC PHẠM VI CHỨC NĂNG QUẢN LÝ CỦA BỘ GIÁO DỤC VÀ ĐÀO TẠO</w:t>
      </w:r>
      <w:bookmarkEnd w:id="1"/>
    </w:p>
    <w:p>
      <w:pPr>
        <w:pStyle w:val="Normal"/>
        <w:bidi w:val="0"/>
        <w:spacing w:before="0" w:after="120"/>
        <w:jc w:val="center"/>
        <w:rPr>
          <w:b/>
          <w:bCs/>
          <w:sz w:val="24"/>
        </w:rPr>
      </w:pPr>
      <w:r>
        <w:rPr>
          <w:b/>
          <w:bCs/>
          <w:sz w:val="24"/>
        </w:rPr>
        <w:t>BỘ TRƯỞNG BỘ GIÁO DỤC VÀ ĐÀO TẠO</w:t>
      </w:r>
    </w:p>
    <w:p>
      <w:pPr>
        <w:pStyle w:val="Normal"/>
        <w:bidi w:val="0"/>
        <w:spacing w:before="0" w:after="120"/>
        <w:rPr>
          <w:i/>
          <w:iCs/>
        </w:rPr>
      </w:pPr>
      <w:r>
        <w:rPr>
          <w:i/>
          <w:iCs/>
        </w:rPr>
        <w:t>Căn cứ Nghị định số 37/2025/NĐ-CP ngày 26 tháng 02 năm 2025 của Chính phủ quy định chức năng, nhiệm vụ, quyền hạn và cơ cấu tổ chức của Bộ Giáo dục và Đào tạo;</w:t>
      </w:r>
    </w:p>
    <w:p>
      <w:pPr>
        <w:pStyle w:val="Normal"/>
        <w:bidi w:val="0"/>
        <w:spacing w:before="0" w:after="120"/>
        <w:rPr>
          <w:i/>
          <w:iCs/>
        </w:rPr>
      </w:pPr>
      <w:r>
        <w:rPr>
          <w:i/>
          <w:iCs/>
        </w:rPr>
        <w:t>Căn cứ Nghị định số 63/2010/NĐ-CP ngày 08 tháng 6 năm 2010 của Chính phủ về kiểm soát thủ tục hành chính và Nghị định số 78/2025/NĐ-CP ngày 01 tháng 4 năm 2025 của Chính phủ sửa đổi, bổ sung một số điều của các Nghị định liên quan đến kiểm soát thủ tục hành chính;</w:t>
      </w:r>
    </w:p>
    <w:p>
      <w:pPr>
        <w:pStyle w:val="Normal"/>
        <w:bidi w:val="0"/>
        <w:spacing w:before="0" w:after="120"/>
        <w:rPr>
          <w:i/>
          <w:iCs/>
        </w:rPr>
      </w:pPr>
      <w:r>
        <w:rPr>
          <w:i/>
          <w:iCs/>
        </w:rPr>
        <w:t>Theo đề nghị của Vụ trưởng Vụ Giáo dục Đại học.</w:t>
      </w:r>
    </w:p>
    <w:p>
      <w:pPr>
        <w:pStyle w:val="Normal"/>
        <w:bidi w:val="0"/>
        <w:spacing w:before="0" w:after="120"/>
        <w:jc w:val="center"/>
        <w:rPr>
          <w:b/>
          <w:bCs/>
          <w:sz w:val="24"/>
        </w:rPr>
      </w:pPr>
      <w:r>
        <w:rPr>
          <w:b/>
          <w:bCs/>
          <w:sz w:val="24"/>
        </w:rPr>
        <w:t>QUYẾT ĐỊNH:</w:t>
      </w:r>
    </w:p>
    <w:p>
      <w:pPr>
        <w:pStyle w:val="Normal"/>
        <w:bidi w:val="0"/>
        <w:spacing w:before="0" w:after="120"/>
        <w:rPr/>
      </w:pPr>
      <w:bookmarkStart w:id="2" w:name="dieu_1"/>
      <w:r>
        <w:rPr>
          <w:b/>
          <w:bCs/>
        </w:rPr>
        <w:t>Điều 1.</w:t>
      </w:r>
      <w:r>
        <w:rPr/>
        <w:t xml:space="preserve"> Công bố kèm theo Quyết định này thủ tục hành chính được thay thế lĩnh vực thi, tuyển sinh thuộc phạm vi chức năng quản lý của Bộ Giáo dục và Đào tạo.</w:t>
      </w:r>
      <w:bookmarkEnd w:id="2"/>
    </w:p>
    <w:p>
      <w:pPr>
        <w:pStyle w:val="Normal"/>
        <w:bidi w:val="0"/>
        <w:spacing w:before="0" w:after="120"/>
        <w:rPr/>
      </w:pPr>
      <w:bookmarkStart w:id="3" w:name="dieu_2"/>
      <w:r>
        <w:rPr>
          <w:b/>
          <w:bCs/>
        </w:rPr>
        <w:t xml:space="preserve">Điều 2. </w:t>
      </w:r>
      <w:r>
        <w:rPr/>
        <w:t>Quyết định này có hiệu lực thi hành kể từ ngày 15/2/2026.</w:t>
      </w:r>
      <w:bookmarkEnd w:id="3"/>
    </w:p>
    <w:p>
      <w:pPr>
        <w:pStyle w:val="Normal"/>
        <w:bidi w:val="0"/>
        <w:spacing w:before="0" w:after="120"/>
        <w:rPr/>
      </w:pPr>
      <w:r>
        <w:rPr/>
        <w:t>Bãi bỏ các nội dung liên quan đến các thủ tục: Đăng ký xét tuyển trình độ đại học, trình độ cao đẳng ngành Giáo dục Mầm non tại Quyết định số 1384/QĐ- BGDĐT ngày 22 tháng 5 năm 2025 của Bộ trưởng Bộ Giáo dục và Đào tạo về việc công bố thủ tục hành chính được sửa đổi, bổ sung, lĩnh vực thi, tuyển sinh thuộc phạm vi, chức năng quản lý của Bộ Giáo dục và Đào tạo.</w:t>
      </w:r>
    </w:p>
    <w:p>
      <w:pPr>
        <w:pStyle w:val="Normal"/>
        <w:bidi w:val="0"/>
        <w:spacing w:before="0" w:after="120"/>
        <w:rPr/>
      </w:pPr>
      <w:bookmarkStart w:id="4" w:name="dieu_3"/>
      <w:r>
        <w:rPr>
          <w:b/>
          <w:bCs/>
        </w:rPr>
        <w:t>Điều 3.</w:t>
      </w:r>
      <w:r>
        <w:rPr/>
        <w:t xml:space="preserve"> Chánh Văn phòng, Vụ trưởng Vụ Giáo dục Đại học, Thủ trưởng các đơn vị và cá nhân, tổ chức có liên quan chịu trách nhiệm thi hành Quyết định này./.</w:t>
      </w:r>
      <w:bookmarkEnd w:id="4"/>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90"/>
        <w:gridCol w:w="4650"/>
      </w:tblGrid>
      <w:tr>
        <w:trPr/>
        <w:tc>
          <w:tcPr>
            <w:tcW w:w="3990" w:type="dxa"/>
            <w:tcBorders/>
          </w:tcPr>
          <w:p>
            <w:pPr>
              <w:pStyle w:val="Normal"/>
              <w:bidi w:val="0"/>
              <w:spacing w:before="0" w:after="120"/>
              <w:rPr/>
            </w:pPr>
            <w:r>
              <w:rPr>
                <w:sz w:val="16"/>
              </w:rPr>
              <w:br/>
            </w:r>
            <w:r>
              <w:rPr>
                <w:b/>
                <w:bCs/>
                <w:i/>
                <w:iCs/>
              </w:rPr>
              <w:t>Nơi nhận:</w:t>
              <w:br/>
            </w:r>
            <w:r>
              <w:rPr>
                <w:sz w:val="16"/>
              </w:rPr>
              <w:t>- Như Điều 3;</w:t>
              <w:br/>
              <w:t>- Bộ trưởng (để b/c);</w:t>
              <w:br/>
              <w:t>- Bộ Tư pháp (Cục KSTTHC);</w:t>
              <w:br/>
              <w:t>- UBND các tỉnh, TP trực thuộc TW;</w:t>
              <w:br/>
              <w:t>- Các cơ sở giáo dục đại học;</w:t>
              <w:br/>
              <w:t>- Cổng TTĐT Bộ GDĐT;</w:t>
              <w:br/>
              <w:t>- Lưu: VT, VP(KSTTHC), GDĐH.</w:t>
            </w:r>
          </w:p>
          <w:p>
            <w:pPr>
              <w:pStyle w:val="Normal"/>
              <w:bidi w:val="0"/>
              <w:spacing w:before="0" w:after="0"/>
              <w:rPr/>
            </w:pPr>
            <w:r>
              <w:rPr/>
            </w:r>
          </w:p>
        </w:tc>
        <w:tc>
          <w:tcPr>
            <w:tcW w:w="4650" w:type="dxa"/>
            <w:tcBorders/>
          </w:tcPr>
          <w:p>
            <w:pPr>
              <w:pStyle w:val="Normal"/>
              <w:bidi w:val="0"/>
              <w:spacing w:before="0" w:after="0"/>
              <w:jc w:val="center"/>
              <w:rPr/>
            </w:pPr>
            <w:r>
              <w:rPr>
                <w:b/>
                <w:bCs/>
              </w:rPr>
              <w:t>KT. BỘ TRƯỞNG</w:t>
              <w:br/>
              <w:t>THỨ TRƯỞNG</w:t>
            </w:r>
            <w:r>
              <w:rPr/>
              <w:br/>
              <w:br/>
              <w:br/>
              <w:br/>
              <w:br/>
            </w:r>
            <w:r>
              <w:rPr>
                <w:b/>
                <w:bCs/>
              </w:rPr>
              <w:t>Nguyễn Văn Phúc</w:t>
            </w:r>
          </w:p>
        </w:tc>
      </w:tr>
    </w:tbl>
    <w:p>
      <w:pPr>
        <w:pStyle w:val="Normal"/>
        <w:bidi w:val="0"/>
        <w:spacing w:before="0" w:after="120"/>
        <w:rPr/>
      </w:pPr>
      <w:r>
        <w:rPr/>
        <w:t> </w:t>
      </w:r>
    </w:p>
    <w:p>
      <w:pPr>
        <w:pStyle w:val="Normal"/>
        <w:bidi w:val="0"/>
        <w:spacing w:before="0" w:after="120"/>
        <w:jc w:val="center"/>
        <w:rPr>
          <w:b/>
          <w:bCs/>
        </w:rPr>
      </w:pPr>
      <w:bookmarkStart w:id="5" w:name="chuong_pl"/>
      <w:r>
        <w:rPr>
          <w:b/>
          <w:bCs/>
        </w:rPr>
        <w:t>THỦ TỤC HÀNH CHÍNH ĐƯỢC THAY THẾ LĨNH VỰC THI, TUYỂN SINH THUỘC PHẠM VI, CHỨC NĂNG QUẢN LÝ CỦA BỘ GIÁO DỤC VÀ ĐÀO TẠO</w:t>
      </w:r>
      <w:bookmarkEnd w:id="5"/>
    </w:p>
    <w:p>
      <w:pPr>
        <w:pStyle w:val="Normal"/>
        <w:bidi w:val="0"/>
        <w:spacing w:before="0" w:after="120"/>
        <w:jc w:val="center"/>
        <w:rPr>
          <w:i/>
          <w:iCs/>
        </w:rPr>
      </w:pPr>
      <w:r>
        <w:rPr>
          <w:i/>
          <w:iCs/>
        </w:rPr>
        <w:t>(Ban hành kèm theo Quyết định số              /QĐ-BGDĐT ngày     tháng 3 năm 2026 của Bộ trưởng Bộ Giáo dục và Đào tạo)</w:t>
      </w:r>
    </w:p>
    <w:p>
      <w:pPr>
        <w:pStyle w:val="Normal"/>
        <w:bidi w:val="0"/>
        <w:spacing w:before="0" w:after="120"/>
        <w:jc w:val="center"/>
        <w:rPr>
          <w:b/>
          <w:bCs/>
        </w:rPr>
      </w:pPr>
      <w:bookmarkStart w:id="6" w:name="chuong_1"/>
      <w:r>
        <w:rPr>
          <w:b/>
          <w:bCs/>
        </w:rPr>
        <w:t>PHẦN I. DANH MỤC THỦ TỤC HÀNH CHÍNH</w:t>
      </w:r>
      <w:bookmarkEnd w:id="6"/>
    </w:p>
    <w:p>
      <w:pPr>
        <w:pStyle w:val="Normal"/>
        <w:bidi w:val="0"/>
        <w:spacing w:before="0" w:after="120"/>
        <w:jc w:val="center"/>
        <w:rPr>
          <w:b/>
          <w:bCs/>
        </w:rPr>
      </w:pPr>
      <w:r>
        <w:rPr>
          <w:b/>
          <w:bCs/>
        </w:rPr>
        <w:t>Danh mục thủ tục hành chính được thay thế thuộc phạm vi chức năng quản lý của Bộ Giáo dục và Đào tạo</w:t>
      </w:r>
    </w:p>
    <w:tbl>
      <w:tblPr>
        <w:tblW w:w="5000" w:type="pct"/>
        <w:jc w:val="start"/>
        <w:tblInd w:w="0" w:type="dxa"/>
        <w:tblLayout w:type="fixed"/>
        <w:tblCellMar>
          <w:top w:w="28" w:type="dxa"/>
          <w:start w:w="108" w:type="dxa"/>
          <w:bottom w:w="28" w:type="dxa"/>
          <w:end w:w="108" w:type="dxa"/>
        </w:tblCellMar>
      </w:tblPr>
      <w:tblGrid>
        <w:gridCol w:w="1208"/>
        <w:gridCol w:w="1311"/>
        <w:gridCol w:w="1333"/>
        <w:gridCol w:w="1360"/>
        <w:gridCol w:w="1596"/>
        <w:gridCol w:w="1488"/>
        <w:gridCol w:w="1674"/>
        <w:gridCol w:w="2"/>
      </w:tblGrid>
      <w:tr>
        <w:trPr/>
        <w:tc>
          <w:tcPr>
            <w:tcW w:w="120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1311" w:type="dxa"/>
            <w:tcBorders>
              <w:top w:val="single" w:sz="8" w:space="0" w:color="000000"/>
              <w:bottom w:val="single" w:sz="8" w:space="0" w:color="000000"/>
              <w:end w:val="single" w:sz="8" w:space="0" w:color="000000"/>
            </w:tcBorders>
          </w:tcPr>
          <w:p>
            <w:pPr>
              <w:pStyle w:val="Normal"/>
              <w:bidi w:val="0"/>
              <w:spacing w:before="0" w:after="0"/>
              <w:jc w:val="center"/>
              <w:rPr/>
            </w:pPr>
            <w:r>
              <w:rPr>
                <w:b/>
                <w:bCs/>
              </w:rPr>
              <w:t>Số hồ sơ TTHC</w:t>
            </w:r>
            <w:r>
              <w:rPr>
                <w:vertAlign w:val="superscript"/>
              </w:rPr>
              <w:t>(1)</w:t>
            </w:r>
          </w:p>
        </w:tc>
        <w:tc>
          <w:tcPr>
            <w:tcW w:w="1333"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thủ tục hành chính được thay thế</w:t>
            </w:r>
          </w:p>
        </w:tc>
        <w:tc>
          <w:tcPr>
            <w:tcW w:w="1360"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thủ tục hành chính thay thế</w:t>
            </w:r>
          </w:p>
        </w:tc>
        <w:tc>
          <w:tcPr>
            <w:tcW w:w="1596" w:type="dxa"/>
            <w:tcBorders>
              <w:top w:val="single" w:sz="8" w:space="0" w:color="000000"/>
              <w:bottom w:val="single" w:sz="8" w:space="0" w:color="000000"/>
              <w:end w:val="single" w:sz="8" w:space="0" w:color="000000"/>
            </w:tcBorders>
          </w:tcPr>
          <w:p>
            <w:pPr>
              <w:pStyle w:val="Normal"/>
              <w:bidi w:val="0"/>
              <w:spacing w:before="0" w:after="0"/>
              <w:jc w:val="center"/>
              <w:rPr/>
            </w:pPr>
            <w:r>
              <w:rPr>
                <w:b/>
                <w:bCs/>
              </w:rPr>
              <w:t>Tên văn bản quy phạm pháp luật quy định nội dung thay thế</w:t>
            </w:r>
            <w:r>
              <w:rPr>
                <w:vertAlign w:val="superscript"/>
              </w:rPr>
              <w:t>(2)</w:t>
            </w:r>
          </w:p>
        </w:tc>
        <w:tc>
          <w:tcPr>
            <w:tcW w:w="1488"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Lĩnh vực</w:t>
            </w:r>
          </w:p>
        </w:tc>
        <w:tc>
          <w:tcPr>
            <w:tcW w:w="1676"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Cơ quan thực hiện</w:t>
            </w:r>
          </w:p>
        </w:tc>
      </w:tr>
      <w:tr>
        <w:trPr/>
        <w:tc>
          <w:tcPr>
            <w:tcW w:w="9970" w:type="dxa"/>
            <w:gridSpan w:val="7"/>
            <w:tcBorders>
              <w:start w:val="single" w:sz="8" w:space="0" w:color="000000"/>
              <w:bottom w:val="single" w:sz="8" w:space="0" w:color="000000"/>
              <w:end w:val="single" w:sz="8" w:space="0" w:color="000000"/>
            </w:tcBorders>
          </w:tcPr>
          <w:p>
            <w:pPr>
              <w:pStyle w:val="Normal"/>
              <w:bidi w:val="0"/>
              <w:snapToGrid w:val="false"/>
              <w:spacing w:before="0" w:after="0"/>
              <w:rPr/>
            </w:pPr>
            <w:r>
              <w:rPr>
                <w:b/>
                <w:bCs/>
              </w:rPr>
              <w:t>A. Thủ tục hành chính cấp trung ươngA. Thủ tục hành chính cấp trung ươngA. Thủ tục hành chính cấp trung ươngA. Thủ tục hành chính cấp trung ươngA. Thủ tục hành chính cấp trung ươngA. Thủ tục hành chính cấp trung ươngA. Thủ tục hành chính cấp trung ương</w:t>
            </w:r>
          </w:p>
        </w:tc>
      </w:tr>
      <w:tr>
        <w:trPr/>
        <w:tc>
          <w:tcPr>
            <w:tcW w:w="1208"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1311" w:type="dxa"/>
            <w:tcBorders>
              <w:bottom w:val="single" w:sz="8" w:space="0" w:color="000000"/>
              <w:end w:val="single" w:sz="8" w:space="0" w:color="000000"/>
            </w:tcBorders>
          </w:tcPr>
          <w:p>
            <w:pPr>
              <w:pStyle w:val="Normal"/>
              <w:bidi w:val="0"/>
              <w:spacing w:before="0" w:after="0"/>
              <w:rPr/>
            </w:pPr>
            <w:r>
              <w:rPr/>
              <w:t>1.001942</w:t>
            </w:r>
          </w:p>
        </w:tc>
        <w:tc>
          <w:tcPr>
            <w:tcW w:w="1333" w:type="dxa"/>
            <w:tcBorders>
              <w:bottom w:val="single" w:sz="8" w:space="0" w:color="000000"/>
              <w:end w:val="single" w:sz="8" w:space="0" w:color="000000"/>
            </w:tcBorders>
          </w:tcPr>
          <w:p>
            <w:pPr>
              <w:pStyle w:val="Normal"/>
              <w:bidi w:val="0"/>
              <w:spacing w:before="0" w:after="0"/>
              <w:rPr/>
            </w:pPr>
            <w:r>
              <w:rPr/>
              <w:t>Đăng ký xét tuyển trình độ đại học, trình độ cao đẳng ngành Giáo dục mầm non</w:t>
            </w:r>
          </w:p>
        </w:tc>
        <w:tc>
          <w:tcPr>
            <w:tcW w:w="1360" w:type="dxa"/>
            <w:tcBorders>
              <w:bottom w:val="single" w:sz="8" w:space="0" w:color="000000"/>
              <w:end w:val="single" w:sz="8" w:space="0" w:color="000000"/>
            </w:tcBorders>
          </w:tcPr>
          <w:p>
            <w:pPr>
              <w:pStyle w:val="Normal"/>
              <w:bidi w:val="0"/>
              <w:spacing w:before="0" w:after="0"/>
              <w:rPr/>
            </w:pPr>
            <w:r>
              <w:rPr/>
              <w:t>Đăng ký xét tuyển tuyển sinh các ngành đào tạo trình độ đại học và ngành Giáo dục Mầm non trình độ cao</w:t>
            </w:r>
          </w:p>
        </w:tc>
        <w:tc>
          <w:tcPr>
            <w:tcW w:w="1596" w:type="dxa"/>
            <w:tcBorders>
              <w:bottom w:val="single" w:sz="8" w:space="0" w:color="000000"/>
              <w:end w:val="single" w:sz="8" w:space="0" w:color="000000"/>
            </w:tcBorders>
          </w:tcPr>
          <w:p>
            <w:pPr>
              <w:pStyle w:val="Normal"/>
              <w:bidi w:val="0"/>
              <w:spacing w:before="0" w:after="0"/>
              <w:rPr/>
            </w:pPr>
            <w:r>
              <w:rPr/>
              <w:t>Thông tư số 06/2026/TT- BGDĐT ngày 15 tháng 2 năm 2026 của Bộ trưởng Bộ Giáo dục và Đào tạo</w:t>
            </w:r>
          </w:p>
        </w:tc>
        <w:tc>
          <w:tcPr>
            <w:tcW w:w="1488" w:type="dxa"/>
            <w:tcBorders>
              <w:bottom w:val="single" w:sz="8" w:space="0" w:color="000000"/>
              <w:end w:val="single" w:sz="8" w:space="0" w:color="000000"/>
            </w:tcBorders>
          </w:tcPr>
          <w:p>
            <w:pPr>
              <w:pStyle w:val="Normal"/>
              <w:bidi w:val="0"/>
              <w:spacing w:before="0" w:after="0"/>
              <w:jc w:val="center"/>
              <w:rPr/>
            </w:pPr>
            <w:r>
              <w:rPr/>
              <w:t>Thi, tuyển sinh</w:t>
            </w:r>
          </w:p>
        </w:tc>
        <w:tc>
          <w:tcPr>
            <w:tcW w:w="1676" w:type="dxa"/>
            <w:tcBorders>
              <w:bottom w:val="single" w:sz="8" w:space="0" w:color="000000"/>
              <w:end w:val="single" w:sz="8" w:space="0" w:color="000000"/>
            </w:tcBorders>
          </w:tcPr>
          <w:p>
            <w:pPr>
              <w:pStyle w:val="Normal"/>
              <w:bidi w:val="0"/>
              <w:spacing w:before="0" w:after="0"/>
              <w:rPr/>
            </w:pPr>
            <w:r>
              <w:rPr/>
              <w:t>Bộ Giáo dục và Đào tạo; “Cơ sở giáo dục đại học, cơ sở giáo dục khác được phép đào tạo trình độ đại học, trường cao đẳng tuyển sinh ngành Giáo dục Mầm non</w:t>
            </w:r>
          </w:p>
        </w:tc>
      </w:tr>
    </w:tbl>
    <w:p>
      <w:pPr>
        <w:pStyle w:val="Normal"/>
        <w:bidi w:val="0"/>
        <w:spacing w:before="0" w:after="120"/>
        <w:rPr>
          <w:b/>
          <w:bCs/>
          <w:i/>
          <w:iCs/>
        </w:rPr>
      </w:pPr>
      <w:r>
        <w:rPr>
          <w:b/>
          <w:bCs/>
          <w:i/>
          <w:iCs/>
        </w:rPr>
        <w:t>Chú thích:</w:t>
      </w:r>
    </w:p>
    <w:p>
      <w:pPr>
        <w:pStyle w:val="Normal"/>
        <w:bidi w:val="0"/>
        <w:spacing w:before="0" w:after="120"/>
        <w:rPr/>
      </w:pPr>
      <w:r>
        <w:rPr>
          <w:vertAlign w:val="superscript"/>
        </w:rPr>
        <w:t>(1)</w:t>
      </w:r>
      <w:r>
        <w:rPr/>
        <w:t xml:space="preserve"> Số hồ sơ TTHC (trên Cơ sở dữ liệu quốc gia về thủ tục hành chính) và mã số TTHC trên Cổng Dịch vụ công Quốc gia của thủ tục hành chính được sửa đổi, bổ sung hoặc thay thế.</w:t>
      </w:r>
    </w:p>
    <w:p>
      <w:pPr>
        <w:pStyle w:val="Normal"/>
        <w:bidi w:val="0"/>
        <w:spacing w:before="0" w:after="120"/>
        <w:rPr/>
      </w:pPr>
      <w:r>
        <w:rPr>
          <w:vertAlign w:val="superscript"/>
        </w:rPr>
        <w:t>(2)</w:t>
      </w:r>
      <w:r>
        <w:rPr/>
        <w:t xml:space="preserve"> Tên, số, ký hiệu, ngày tháng năm ban hành và trích yếu của các văn bản quy phạm pháp luật quy định nội dung sửa đổi, bổ sung hoặc thay thế.</w:t>
      </w:r>
    </w:p>
    <w:p>
      <w:pPr>
        <w:pStyle w:val="Normal"/>
        <w:bidi w:val="0"/>
        <w:spacing w:before="0" w:after="120"/>
        <w:rPr/>
      </w:pPr>
      <w:r>
        <w:rPr/>
        <w:t> </w:t>
      </w:r>
    </w:p>
    <w:p>
      <w:pPr>
        <w:pStyle w:val="Normal"/>
        <w:bidi w:val="0"/>
        <w:spacing w:before="0" w:after="120"/>
        <w:rPr>
          <w:b/>
          <w:bCs/>
        </w:rPr>
      </w:pPr>
      <w:bookmarkStart w:id="7" w:name="chuong_2"/>
      <w:r>
        <w:rPr>
          <w:b/>
          <w:bCs/>
        </w:rPr>
        <w:t>PHẦN II. NỘI DUNG CỤ THỂ TỪNG THỦ TỤC HÀNH CHÍNH THUỘC PHẠM VI CHỨC NĂNG QUẢN LÝ CỦA BỘ GIÁO DỤC VÀ ĐÀO TẠO</w:t>
      </w:r>
      <w:bookmarkEnd w:id="7"/>
    </w:p>
    <w:p>
      <w:pPr>
        <w:pStyle w:val="Normal"/>
        <w:bidi w:val="0"/>
        <w:spacing w:before="0" w:after="120"/>
        <w:rPr>
          <w:b/>
          <w:bCs/>
        </w:rPr>
      </w:pPr>
      <w:bookmarkStart w:id="8" w:name="muc_1"/>
      <w:r>
        <w:rPr>
          <w:b/>
          <w:bCs/>
        </w:rPr>
        <w:t>Thủ tục hành chính cấp Trung ương</w:t>
      </w:r>
      <w:bookmarkEnd w:id="8"/>
    </w:p>
    <w:p>
      <w:pPr>
        <w:pStyle w:val="Normal"/>
        <w:bidi w:val="0"/>
        <w:spacing w:before="0" w:after="120"/>
        <w:rPr>
          <w:b/>
          <w:bCs/>
        </w:rPr>
      </w:pPr>
      <w:bookmarkStart w:id="9" w:name="muc_1_1"/>
      <w:r>
        <w:rPr>
          <w:b/>
          <w:bCs/>
        </w:rPr>
        <w:t>Lĩnh vực Thi, tuyển sinh</w:t>
      </w:r>
      <w:bookmarkEnd w:id="9"/>
    </w:p>
    <w:p>
      <w:pPr>
        <w:pStyle w:val="Normal"/>
        <w:bidi w:val="0"/>
        <w:spacing w:before="0" w:after="120"/>
        <w:rPr>
          <w:b/>
          <w:bCs/>
        </w:rPr>
      </w:pPr>
      <w:bookmarkStart w:id="10" w:name="dieu_1_1"/>
      <w:r>
        <w:rPr>
          <w:b/>
          <w:bCs/>
        </w:rPr>
        <w:t>1. Đăng ký xét tuyển tuyển sinh trình độ đại học và ngành Giáo dục Mầm non trình độ cao đẳng</w:t>
      </w:r>
      <w:bookmarkEnd w:id="10"/>
    </w:p>
    <w:p>
      <w:pPr>
        <w:pStyle w:val="Normal"/>
        <w:bidi w:val="0"/>
        <w:spacing w:before="0" w:after="120"/>
        <w:rPr>
          <w:b/>
          <w:bCs/>
        </w:rPr>
      </w:pPr>
      <w:r>
        <w:rPr>
          <w:b/>
          <w:bCs/>
        </w:rPr>
        <w:t>1.1. Trình tự thực hiện:</w:t>
      </w:r>
    </w:p>
    <w:p>
      <w:pPr>
        <w:pStyle w:val="Normal"/>
        <w:bidi w:val="0"/>
        <w:spacing w:before="0" w:after="120"/>
        <w:rPr/>
      </w:pPr>
      <w:r>
        <w:rPr/>
        <w:t>Thí sinh đăng ký xét tuyển trên Hệ thống</w:t>
      </w:r>
    </w:p>
    <w:p>
      <w:pPr>
        <w:pStyle w:val="Normal"/>
        <w:bidi w:val="0"/>
        <w:spacing w:before="0" w:after="120"/>
        <w:rPr/>
      </w:pPr>
      <w:r>
        <w:rPr/>
        <w:t>a) Bộ GDĐT hỗ trợ tổ chức đăng ký xét tuyển đợt 1 đào tạo chính quy cho tất cả phương thức tuyển sinh của các cơ sở đào tạo. Thời gian đăng ký theo kế hoạch tuyển sinh hằng năm.</w:t>
      </w:r>
    </w:p>
    <w:p>
      <w:pPr>
        <w:pStyle w:val="Normal"/>
        <w:bidi w:val="0"/>
        <w:spacing w:before="0" w:after="120"/>
        <w:rPr/>
      </w:pPr>
      <w:r>
        <w:rPr/>
        <w:t>b) Thí sinh dự tuyển đợt 1 đào tạo chính quy thực hiện đăng ký xét tuyển trên Hệ thống (hoặc qua Cổng dịch vụ công quốc gia) theo kế hoạch chung và hướng dẫn của Bộ GDĐT hằng năm.</w:t>
      </w:r>
    </w:p>
    <w:p>
      <w:pPr>
        <w:pStyle w:val="Normal"/>
        <w:bidi w:val="0"/>
        <w:spacing w:before="0" w:after="120"/>
        <w:rPr/>
      </w:pPr>
      <w:r>
        <w:rPr/>
        <w:t>c) Thí sinh được đăng ký tối đa 15 nguyện vọng vào các chương trình đào tạo, các cơ sở giáo dục đại học khác nhau; nguyện vọng phải được sắp xếp theo thứ tự ưu tiên từ cao xuống thấp. Trong trường hợp nhiều nguyện vọng đủ điều kiện trúng tuyển, thí sinh chỉ được công nhận trúng tuyển và gọi nhập học theo nguyện vọng cao nhất.</w:t>
      </w:r>
    </w:p>
    <w:p>
      <w:pPr>
        <w:pStyle w:val="Normal"/>
        <w:bidi w:val="0"/>
        <w:spacing w:before="0" w:after="120"/>
        <w:rPr/>
      </w:pPr>
      <w:r>
        <w:rPr/>
        <w:t>Các chương trình đào tạo giáo viên chỉ xét tuyển thí sinh đăng ký ở các nguyện vọng có thứ tự từ 01 đến 05.</w:t>
      </w:r>
    </w:p>
    <w:p>
      <w:pPr>
        <w:pStyle w:val="Normal"/>
        <w:bidi w:val="0"/>
        <w:spacing w:before="0" w:after="120"/>
        <w:rPr/>
      </w:pPr>
      <w:r>
        <w:rPr/>
        <w:t>d) Thí sinh thể hiện nguyện vọng đăng ký xét tuyển trên Hệ thống như sau:</w:t>
      </w:r>
    </w:p>
    <w:p>
      <w:pPr>
        <w:pStyle w:val="Normal"/>
        <w:bidi w:val="0"/>
        <w:spacing w:before="0" w:after="120"/>
        <w:rPr/>
      </w:pPr>
      <w:r>
        <w:rPr/>
        <w:t>- Thứ tự ưu tiên của nguyện vọng (số 1 thể hiện nguyện vọng có thứ tự ưu tiên cao nhất);</w:t>
      </w:r>
    </w:p>
    <w:p>
      <w:pPr>
        <w:pStyle w:val="Normal"/>
        <w:bidi w:val="0"/>
        <w:spacing w:before="0" w:after="120"/>
        <w:rPr/>
      </w:pPr>
      <w:r>
        <w:rPr/>
        <w:t>- Lựa chọn về cơ sở đào tạo, đơn vị tuyển sinh (mã trường);</w:t>
      </w:r>
    </w:p>
    <w:p>
      <w:pPr>
        <w:pStyle w:val="Normal"/>
        <w:bidi w:val="0"/>
        <w:spacing w:before="0" w:after="120"/>
        <w:rPr/>
      </w:pPr>
      <w:r>
        <w:rPr/>
        <w:t>- Lựa chọn chương trình đào tạo (mã xét tuyển).</w:t>
      </w:r>
    </w:p>
    <w:p>
      <w:pPr>
        <w:pStyle w:val="Normal"/>
        <w:bidi w:val="0"/>
        <w:spacing w:before="0" w:after="120"/>
        <w:rPr/>
      </w:pPr>
      <w:r>
        <w:rPr/>
        <w:t>đ) Trong đợt 1, thí sinh đăng ký xét tuyển và chỉ nộp lệ phí xét tuyển một lần duy nhất (không bao gồm lệ phí các kỳ bổ trợ, kỳ thi độc lập) theo mức thu dịch vụ tuyển sinh do các cơ sở đào tạo quy định.</w:t>
      </w:r>
    </w:p>
    <w:p>
      <w:pPr>
        <w:pStyle w:val="Normal"/>
        <w:bidi w:val="0"/>
        <w:spacing w:before="0" w:after="120"/>
        <w:rPr/>
      </w:pPr>
      <w:r>
        <w:rPr/>
        <w:t>Thí sinh đăng ký xét tuyển vào các trường trực thuộc Bộ Quốc phòng, Bộ Công an thực hiện các quy định tại Quy chế này và quy định của Bộ Quốc phòng, Bộ Công an.</w:t>
      </w:r>
    </w:p>
    <w:p>
      <w:pPr>
        <w:pStyle w:val="Normal"/>
        <w:bidi w:val="0"/>
        <w:spacing w:before="0" w:after="120"/>
        <w:rPr>
          <w:b/>
          <w:bCs/>
        </w:rPr>
      </w:pPr>
      <w:r>
        <w:rPr>
          <w:b/>
          <w:bCs/>
        </w:rPr>
        <w:t>1.2. Cách thức thực hiện:</w:t>
      </w:r>
    </w:p>
    <w:p>
      <w:pPr>
        <w:pStyle w:val="Normal"/>
        <w:bidi w:val="0"/>
        <w:spacing w:before="0" w:after="120"/>
        <w:rPr/>
      </w:pPr>
      <w:r>
        <w:rPr/>
        <w:t>Đối tượng xét tuyển theo kế hoạch chung:</w:t>
      </w:r>
    </w:p>
    <w:p>
      <w:pPr>
        <w:pStyle w:val="Normal"/>
        <w:bidi w:val="0"/>
        <w:spacing w:before="0" w:after="120"/>
        <w:rPr/>
      </w:pPr>
      <w:r>
        <w:rPr/>
        <w:t>Thực hiện đăng ký xét tuyển trực tuyến trên hệ thống (qua Cổng thông tin tuyển sinh của Bộ GDĐT hoặc qua Cổng dịch vụ công Quốc gia).</w:t>
      </w:r>
    </w:p>
    <w:p>
      <w:pPr>
        <w:pStyle w:val="Normal"/>
        <w:bidi w:val="0"/>
        <w:spacing w:before="0" w:after="120"/>
        <w:rPr>
          <w:b/>
          <w:bCs/>
        </w:rPr>
      </w:pPr>
      <w:r>
        <w:rPr>
          <w:b/>
          <w:bCs/>
        </w:rPr>
        <w:t>1.3. Thành phần, số lượng hồ sơ:</w:t>
      </w:r>
    </w:p>
    <w:p>
      <w:pPr>
        <w:pStyle w:val="Normal"/>
        <w:bidi w:val="0"/>
        <w:spacing w:before="0" w:after="120"/>
        <w:rPr/>
      </w:pPr>
      <w:r>
        <w:rPr/>
        <w:t>1.3.1. Hồ sơ đăng ký xét tuyển bao gồm: Đăng ký trực tuyến</w:t>
      </w:r>
      <w:r>
        <w:rPr>
          <w:i/>
          <w:iCs/>
        </w:rPr>
        <w:t>.</w:t>
      </w:r>
    </w:p>
    <w:p>
      <w:pPr>
        <w:pStyle w:val="Normal"/>
        <w:bidi w:val="0"/>
        <w:spacing w:before="0" w:after="120"/>
        <w:rPr/>
      </w:pPr>
      <w:r>
        <w:rPr/>
        <w:t>1.3.2. Số lượng: Không.</w:t>
      </w:r>
    </w:p>
    <w:p>
      <w:pPr>
        <w:pStyle w:val="Normal"/>
        <w:bidi w:val="0"/>
        <w:spacing w:before="0" w:after="120"/>
        <w:rPr>
          <w:b/>
          <w:bCs/>
        </w:rPr>
      </w:pPr>
      <w:r>
        <w:rPr>
          <w:b/>
          <w:bCs/>
        </w:rPr>
        <w:t>1.4. Thời hạn giải quyết</w:t>
      </w:r>
    </w:p>
    <w:p>
      <w:pPr>
        <w:pStyle w:val="Normal"/>
        <w:bidi w:val="0"/>
        <w:spacing w:before="0" w:after="120"/>
        <w:rPr/>
      </w:pPr>
      <w:r>
        <w:rPr/>
        <w:t>Đối với tuyển sinh đợt 1 cho hình thức đào tạo chính quy, công tác tuyển sinh theo kế hoạch tuyển sinh hằng năm do Bộ GDĐT quy định.</w:t>
      </w:r>
    </w:p>
    <w:p>
      <w:pPr>
        <w:pStyle w:val="Normal"/>
        <w:bidi w:val="0"/>
        <w:spacing w:before="0" w:after="120"/>
        <w:rPr>
          <w:b/>
          <w:bCs/>
        </w:rPr>
      </w:pPr>
      <w:r>
        <w:rPr>
          <w:b/>
          <w:bCs/>
        </w:rPr>
        <w:t>1.5. Đối tượng thực hiện thủ tục hành chính</w:t>
      </w:r>
    </w:p>
    <w:p>
      <w:pPr>
        <w:pStyle w:val="Normal"/>
        <w:bidi w:val="0"/>
        <w:spacing w:before="0" w:after="120"/>
        <w:rPr/>
      </w:pPr>
      <w:r>
        <w:rPr/>
        <w:t>- Người đã được công nhận tốt nghiệp trung học phổ thông, trung học nghề của Việt Nam hoặc của nước ngoài được công nhận trình độ tương đương với trung học phổ thông, trung học nghề của Việt Nam do các đơn vị chức năng xác định;</w:t>
      </w:r>
    </w:p>
    <w:p>
      <w:pPr>
        <w:pStyle w:val="Normal"/>
        <w:bidi w:val="0"/>
        <w:spacing w:before="0" w:after="120"/>
        <w:rPr/>
      </w:pPr>
      <w:r>
        <w:rPr/>
        <w:t>- Người đã có bằng tốt nghiệp trung cấp ngành nghề thuộc cùng nhóm ngành dự tuyển và đã hoàn thành đủ yêu cầu khối lượng kiến thức văn hóa cấp trung học phổ thông theo quy định của pháp luật.</w:t>
      </w:r>
    </w:p>
    <w:p>
      <w:pPr>
        <w:pStyle w:val="Normal"/>
        <w:bidi w:val="0"/>
        <w:spacing w:before="0" w:after="120"/>
        <w:rPr>
          <w:b/>
          <w:bCs/>
        </w:rPr>
      </w:pPr>
      <w:r>
        <w:rPr>
          <w:b/>
          <w:bCs/>
        </w:rPr>
        <w:t>1.6. Cơ quan thực hiện thủ tục hành chính:</w:t>
      </w:r>
    </w:p>
    <w:p>
      <w:pPr>
        <w:pStyle w:val="Normal"/>
        <w:bidi w:val="0"/>
        <w:spacing w:before="0" w:after="120"/>
        <w:rPr/>
      </w:pPr>
      <w:r>
        <w:rPr/>
        <w:t>Bộ Giáo dục và Đào tạo/cơ sở giáo dục đại học, cơ sở giáo dục khác được phép đào tạo trình độ đại học, trường cao đẳng tuyển sinh ngành Giáo dục Mầm non.</w:t>
      </w:r>
    </w:p>
    <w:p>
      <w:pPr>
        <w:pStyle w:val="Normal"/>
        <w:bidi w:val="0"/>
        <w:spacing w:before="0" w:after="120"/>
        <w:rPr>
          <w:b/>
          <w:bCs/>
        </w:rPr>
      </w:pPr>
      <w:r>
        <w:rPr>
          <w:b/>
          <w:bCs/>
        </w:rPr>
        <w:t>1.7. Kết quả thực hiện thủ tục hành chính:</w:t>
      </w:r>
    </w:p>
    <w:p>
      <w:pPr>
        <w:pStyle w:val="Normal"/>
        <w:bidi w:val="0"/>
        <w:spacing w:before="0" w:after="120"/>
        <w:rPr/>
      </w:pPr>
      <w:r>
        <w:rPr/>
        <w:t>Hệ thống hỗ trợ tuyển sinh chung của Bộ GDĐT ghi nhận kết quả thí sinh đã đăng ký xét tuyển đợt 1 đào tạo chính quy vào Hệ thống.</w:t>
      </w:r>
    </w:p>
    <w:p>
      <w:pPr>
        <w:pStyle w:val="Normal"/>
        <w:bidi w:val="0"/>
        <w:spacing w:before="0" w:after="120"/>
        <w:rPr>
          <w:b/>
          <w:bCs/>
        </w:rPr>
      </w:pPr>
      <w:r>
        <w:rPr>
          <w:b/>
          <w:bCs/>
        </w:rPr>
        <w:t>1.8. Phí, lệ phí (nếu có):</w:t>
      </w:r>
    </w:p>
    <w:p>
      <w:pPr>
        <w:pStyle w:val="Normal"/>
        <w:bidi w:val="0"/>
        <w:spacing w:before="0" w:after="120"/>
        <w:rPr/>
      </w:pPr>
      <w:r>
        <w:rPr/>
        <w:t>Xét tuyển đợt 1, thí sinh nộp lệ phí trực tuyến, mức phí theo quy định của cơ sở đào tạo.</w:t>
      </w:r>
    </w:p>
    <w:p>
      <w:pPr>
        <w:pStyle w:val="Normal"/>
        <w:bidi w:val="0"/>
        <w:spacing w:before="0" w:after="120"/>
        <w:rPr>
          <w:b/>
          <w:bCs/>
        </w:rPr>
      </w:pPr>
      <w:r>
        <w:rPr>
          <w:b/>
          <w:bCs/>
        </w:rPr>
        <w:t>1.9. Tên mẫu đơn, mẫu tờ khai:</w:t>
      </w:r>
    </w:p>
    <w:p>
      <w:pPr>
        <w:pStyle w:val="Normal"/>
        <w:bidi w:val="0"/>
        <w:spacing w:before="0" w:after="120"/>
        <w:rPr/>
      </w:pPr>
      <w:r>
        <w:rPr/>
        <w:t>Không</w:t>
      </w:r>
    </w:p>
    <w:p>
      <w:pPr>
        <w:pStyle w:val="Normal"/>
        <w:bidi w:val="0"/>
        <w:spacing w:before="0" w:after="120"/>
        <w:rPr>
          <w:b/>
          <w:bCs/>
        </w:rPr>
      </w:pPr>
      <w:r>
        <w:rPr>
          <w:b/>
          <w:bCs/>
        </w:rPr>
        <w:t>1.10. Điều kiện thực hiện thủ tục hành chính:</w:t>
      </w:r>
    </w:p>
    <w:p>
      <w:pPr>
        <w:pStyle w:val="Normal"/>
        <w:bidi w:val="0"/>
        <w:spacing w:before="0" w:after="120"/>
        <w:rPr/>
      </w:pPr>
      <w:r>
        <w:rPr/>
        <w:t>Người dự tuyển theo quy định tại Quy chế tuyển sinh phải đáp ứng các điều kiện sau:</w:t>
      </w:r>
    </w:p>
    <w:p>
      <w:pPr>
        <w:pStyle w:val="Normal"/>
        <w:bidi w:val="0"/>
        <w:spacing w:before="0" w:after="120"/>
        <w:rPr/>
      </w:pPr>
      <w:r>
        <w:rPr/>
        <w:t>- Đáp ứng điều kiện nguồn tuyển;</w:t>
      </w:r>
    </w:p>
    <w:p>
      <w:pPr>
        <w:pStyle w:val="Normal"/>
        <w:bidi w:val="0"/>
        <w:spacing w:before="0" w:after="120"/>
        <w:rPr/>
      </w:pPr>
      <w:r>
        <w:rPr/>
        <w:t>- Có đủ sức khoẻ để học tập theo quy định hiện hành;</w:t>
      </w:r>
    </w:p>
    <w:p>
      <w:pPr>
        <w:pStyle w:val="Normal"/>
        <w:bidi w:val="0"/>
        <w:spacing w:before="0" w:after="120"/>
        <w:rPr/>
      </w:pPr>
      <w:r>
        <w:rPr/>
        <w:t>- Có đủ thông tin cá nhân, hồ sơ dự tuyển theo quy định.</w:t>
      </w:r>
    </w:p>
    <w:p>
      <w:pPr>
        <w:pStyle w:val="Normal"/>
        <w:bidi w:val="0"/>
        <w:spacing w:before="0" w:after="120"/>
        <w:rPr>
          <w:b/>
          <w:bCs/>
        </w:rPr>
      </w:pPr>
      <w:r>
        <w:rPr>
          <w:b/>
          <w:bCs/>
        </w:rPr>
        <w:t>1.11. Căn cứ pháp lý của thủ tục hành chính:</w:t>
      </w:r>
    </w:p>
    <w:p>
      <w:pPr>
        <w:pStyle w:val="Normal"/>
        <w:bidi w:val="0"/>
        <w:spacing w:before="0" w:after="120"/>
        <w:rPr>
          <w:i/>
          <w:iCs/>
        </w:rPr>
      </w:pPr>
      <w:r>
        <w:rPr>
          <w:i/>
          <w:iCs/>
        </w:rPr>
        <w:t>Thông tư số 06/2026/TT-BGDĐT ngày 15 tháng 2 năm 2026 của Bộ trưởng Bộ Giáo dục và Đào tạo ban hành Quy chế tuyển sinh các ngành đào tạo trình độ đại học và ngành Giáo dục Mầm non trình độ cao đẳng.</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