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91"/>
        <w:gridCol w:w="6081"/>
      </w:tblGrid>
      <w:tr>
        <w:trPr/>
        <w:tc>
          <w:tcPr>
            <w:tcW w:w="3891" w:type="dxa"/>
            <w:tcBorders/>
          </w:tcPr>
          <w:p>
            <w:pPr>
              <w:pStyle w:val="Normal"/>
              <w:bidi w:val="0"/>
              <w:spacing w:before="120" w:after="0"/>
              <w:jc w:val="center"/>
              <w:rPr/>
            </w:pPr>
            <w:r>
              <w:rPr>
                <w:b/>
                <w:bCs/>
              </w:rPr>
              <w:t>CHÍNH PHỦ</w:t>
              <w:br/>
              <w:t>-------</w:t>
            </w:r>
          </w:p>
        </w:tc>
        <w:tc>
          <w:tcPr>
            <w:tcW w:w="6081"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91" w:type="dxa"/>
            <w:tcBorders/>
          </w:tcPr>
          <w:p>
            <w:pPr>
              <w:pStyle w:val="Normal"/>
              <w:bidi w:val="0"/>
              <w:spacing w:before="120" w:after="0"/>
              <w:jc w:val="center"/>
              <w:rPr/>
            </w:pPr>
            <w:r>
              <w:rPr/>
              <w:t>Số: 72/2026/NĐ-CP</w:t>
            </w:r>
          </w:p>
        </w:tc>
        <w:tc>
          <w:tcPr>
            <w:tcW w:w="6081" w:type="dxa"/>
            <w:tcBorders/>
          </w:tcPr>
          <w:p>
            <w:pPr>
              <w:pStyle w:val="Normal"/>
              <w:bidi w:val="0"/>
              <w:spacing w:before="120" w:after="0"/>
              <w:jc w:val="end"/>
              <w:rPr/>
            </w:pPr>
            <w:r>
              <w:rPr>
                <w:i/>
                <w:iCs/>
              </w:rPr>
              <w:t>Hà Nội, ngày 09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SỬA ĐỔI MỨC THUẾ SUẤT THUẾ NHẬP KHẨU ƯU ĐÃI ĐỐI VỚI MỘT SỐ MẶT HÀNG XĂNG, DẦU, NGUYÊN LIỆU SẢN XUẤT XĂNG, DẦU TẠI BIỂU THUẾ NHẬP KHẨU ƯU ĐÃI BAN HÀNH KÈM THEO NGHỊ ĐỊNH SỐ 26/2023/NĐ-CP NGÀY 31 THÁNG 5 NĂM 2023 CỦA CHÍNH PHỦ VỀ BIỂU THUẾ XUẤT KHẨU, BIỂU THUẾ NHẬP KHẨU ƯU ĐÃI, DANH MỤC HÀNG HÓA VÀ MỨC THUẾ TUYỆT ĐỐI, THUẾ HỖN HỢP, THUẾ NHẬP KHẨU NGOÀI HẠN NGẠCH THUẾ QUAN</w:t>
      </w:r>
      <w:bookmarkEnd w:id="1"/>
    </w:p>
    <w:p>
      <w:pPr>
        <w:pStyle w:val="Normal"/>
        <w:bidi w:val="0"/>
        <w:spacing w:before="120" w:after="280"/>
        <w:rPr>
          <w:i/>
          <w:iCs/>
        </w:rPr>
      </w:pPr>
      <w:r>
        <w:rPr>
          <w:i/>
          <w:iCs/>
        </w:rPr>
        <w:t xml:space="preserve">Căn cứ </w:t>
      </w:r>
      <w:bookmarkStart w:id="2" w:name="tvpllink_oztzitmbya"/>
      <w:r>
        <w:rPr>
          <w:i/>
          <w:iCs/>
        </w:rPr>
        <w:t>Luật Tổ chức Chính phủ số 63/2025/QH15</w:t>
      </w:r>
      <w:bookmarkEnd w:id="2"/>
      <w:r>
        <w:rPr>
          <w:i/>
          <w:iCs/>
        </w:rPr>
        <w:t>;</w:t>
      </w:r>
    </w:p>
    <w:p>
      <w:pPr>
        <w:pStyle w:val="Normal"/>
        <w:bidi w:val="0"/>
        <w:spacing w:before="120" w:after="280"/>
        <w:rPr>
          <w:i/>
          <w:iCs/>
        </w:rPr>
      </w:pPr>
      <w:r>
        <w:rPr>
          <w:i/>
          <w:iCs/>
        </w:rPr>
        <w:t xml:space="preserve">Căn cứ </w:t>
      </w:r>
      <w:bookmarkStart w:id="3" w:name="tvpllink_hadubejmqv"/>
      <w:r>
        <w:rPr>
          <w:i/>
          <w:iCs/>
        </w:rPr>
        <w:t>Luật Thuế xuất khẩu, thuế nhập khẩu số 107/2016/QH13</w:t>
      </w:r>
      <w:bookmarkEnd w:id="3"/>
      <w:r>
        <w:rPr>
          <w:i/>
          <w:iCs/>
        </w:rPr>
        <w:t>;</w:t>
      </w:r>
    </w:p>
    <w:p>
      <w:pPr>
        <w:pStyle w:val="Normal"/>
        <w:bidi w:val="0"/>
        <w:spacing w:before="120" w:after="280"/>
        <w:rPr>
          <w:i/>
          <w:iCs/>
        </w:rPr>
      </w:pPr>
      <w:r>
        <w:rPr>
          <w:i/>
          <w:iCs/>
        </w:rPr>
        <w:t xml:space="preserve">Căn cứ </w:t>
      </w:r>
      <w:bookmarkStart w:id="4" w:name="tvpllink_jtbreqnlmk"/>
      <w:r>
        <w:rPr>
          <w:i/>
          <w:iCs/>
        </w:rPr>
        <w:t>Luật Hải quan số 54/2014/QH13</w:t>
      </w:r>
      <w:bookmarkEnd w:id="4"/>
      <w:r>
        <w:rPr>
          <w:i/>
          <w:iCs/>
        </w:rPr>
        <w:t>;</w:t>
      </w:r>
    </w:p>
    <w:p>
      <w:pPr>
        <w:pStyle w:val="Normal"/>
        <w:bidi w:val="0"/>
        <w:spacing w:before="120" w:after="280"/>
        <w:rPr>
          <w:i/>
          <w:iCs/>
        </w:rPr>
      </w:pPr>
      <w:r>
        <w:rPr>
          <w:i/>
          <w:iCs/>
        </w:rPr>
        <w:t xml:space="preserve">Căn cứ Luật số </w:t>
      </w:r>
      <w:bookmarkStart w:id="5" w:name="tvpllink_hbwjisyjfg"/>
      <w:r>
        <w:rPr>
          <w:i/>
          <w:iCs/>
        </w:rPr>
        <w:t>90/2025/QH15</w:t>
      </w:r>
      <w:bookmarkEnd w:id="5"/>
      <w:r>
        <w:rPr>
          <w:i/>
          <w:iCs/>
        </w:rPr>
        <w:t xml:space="preserve"> sửa đổi, bổ sung một số điều của </w:t>
      </w:r>
      <w:bookmarkStart w:id="6" w:name="tvpllink_gqfnckcasa"/>
      <w:r>
        <w:rPr>
          <w:i/>
          <w:iCs/>
        </w:rPr>
        <w:t>Luật Đấu thầu</w:t>
      </w:r>
      <w:bookmarkEnd w:id="6"/>
      <w:r>
        <w:rPr>
          <w:i/>
          <w:iCs/>
        </w:rPr>
        <w:t xml:space="preserve">, </w:t>
      </w:r>
      <w:bookmarkStart w:id="7" w:name="tvpllink_vyzhhycgyv"/>
      <w:r>
        <w:rPr>
          <w:i/>
          <w:iCs/>
        </w:rPr>
        <w:t>Luật Đầu tư theo phương thức đối tác công tư</w:t>
      </w:r>
      <w:bookmarkEnd w:id="7"/>
      <w:r>
        <w:rPr>
          <w:i/>
          <w:iCs/>
        </w:rPr>
        <w:t xml:space="preserve">, </w:t>
      </w:r>
      <w:bookmarkStart w:id="8" w:name="tvpllink_jtbreqnlmk_1"/>
      <w:r>
        <w:rPr>
          <w:i/>
          <w:iCs/>
        </w:rPr>
        <w:t>Luật Hải quan</w:t>
      </w:r>
      <w:bookmarkEnd w:id="8"/>
      <w:r>
        <w:rPr>
          <w:i/>
          <w:iCs/>
        </w:rPr>
        <w:t xml:space="preserve">, </w:t>
      </w:r>
      <w:bookmarkStart w:id="9" w:name="tvpllink_cfonnkiqjn"/>
      <w:r>
        <w:rPr>
          <w:i/>
          <w:iCs/>
        </w:rPr>
        <w:t>Luật Thuế giá trị gia tăng</w:t>
      </w:r>
      <w:bookmarkEnd w:id="9"/>
      <w:r>
        <w:rPr>
          <w:i/>
          <w:iCs/>
        </w:rPr>
        <w:t xml:space="preserve">, </w:t>
      </w:r>
      <w:bookmarkStart w:id="10" w:name="tvpllink_hadubejmqv_1"/>
      <w:r>
        <w:rPr>
          <w:i/>
          <w:iCs/>
        </w:rPr>
        <w:t>Luật Thuế xuất khẩu, thuế nhập khẩu</w:t>
      </w:r>
      <w:bookmarkEnd w:id="10"/>
      <w:r>
        <w:rPr>
          <w:i/>
          <w:iCs/>
        </w:rPr>
        <w:t xml:space="preserve">, </w:t>
      </w:r>
      <w:bookmarkStart w:id="11" w:name="tvpllink_gwozgqnrqo"/>
      <w:r>
        <w:rPr>
          <w:i/>
          <w:iCs/>
        </w:rPr>
        <w:t>Luật Đầu tư</w:t>
      </w:r>
      <w:bookmarkEnd w:id="11"/>
      <w:r>
        <w:rPr>
          <w:i/>
          <w:iCs/>
        </w:rPr>
        <w:t xml:space="preserve">, </w:t>
      </w:r>
      <w:bookmarkStart w:id="12" w:name="tvpllink_egevmdwtbo"/>
      <w:r>
        <w:rPr>
          <w:i/>
          <w:iCs/>
        </w:rPr>
        <w:t>Luật Đầu tư công</w:t>
      </w:r>
      <w:bookmarkEnd w:id="12"/>
      <w:r>
        <w:rPr>
          <w:i/>
          <w:iCs/>
        </w:rPr>
        <w:t xml:space="preserve">, </w:t>
      </w:r>
      <w:bookmarkStart w:id="13" w:name="tvpllink_tmztcowzkm"/>
      <w:r>
        <w:rPr>
          <w:i/>
          <w:iCs/>
        </w:rPr>
        <w:t>Luật Quản lý, sử dụng tài sản công</w:t>
      </w:r>
      <w:bookmarkEnd w:id="13"/>
      <w:r>
        <w:rPr>
          <w:i/>
          <w:iCs/>
        </w:rPr>
        <w:t>;</w:t>
      </w:r>
    </w:p>
    <w:p>
      <w:pPr>
        <w:pStyle w:val="Normal"/>
        <w:bidi w:val="0"/>
        <w:spacing w:before="120" w:after="280"/>
        <w:rPr>
          <w:i/>
          <w:iCs/>
        </w:rPr>
      </w:pPr>
      <w:r>
        <w:rPr>
          <w:i/>
          <w:iCs/>
        </w:rPr>
        <w:t xml:space="preserve">Căn cứ </w:t>
      </w:r>
      <w:bookmarkStart w:id="14" w:name="tvpllink_gtkyhfrola"/>
      <w:r>
        <w:rPr>
          <w:i/>
          <w:iCs/>
        </w:rPr>
        <w:t>Luật Quản lý thuế số 38/2019/QH14</w:t>
      </w:r>
      <w:bookmarkEnd w:id="14"/>
      <w:r>
        <w:rPr>
          <w:i/>
          <w:iCs/>
        </w:rPr>
        <w:t xml:space="preserve"> được sửa đổi, bổ sung bởi Luật số </w:t>
      </w:r>
      <w:bookmarkStart w:id="15" w:name="tvpllink_mmgfvzfnbs"/>
      <w:r>
        <w:rPr>
          <w:i/>
          <w:iCs/>
        </w:rPr>
        <w:t>56/2024/QH15</w:t>
      </w:r>
      <w:bookmarkEnd w:id="15"/>
      <w:r>
        <w:rPr>
          <w:i/>
          <w:iCs/>
        </w:rPr>
        <w:t>;</w:t>
      </w:r>
    </w:p>
    <w:p>
      <w:pPr>
        <w:pStyle w:val="Normal"/>
        <w:bidi w:val="0"/>
        <w:spacing w:before="120" w:after="280"/>
        <w:rPr>
          <w:i/>
          <w:iCs/>
        </w:rPr>
      </w:pPr>
      <w:r>
        <w:rPr>
          <w:i/>
          <w:iCs/>
        </w:rPr>
        <w:t xml:space="preserve">Căn cứ Nghị quyết số </w:t>
      </w:r>
      <w:bookmarkStart w:id="16" w:name="tvpllink_cdpehifdhq"/>
      <w:r>
        <w:rPr>
          <w:i/>
          <w:iCs/>
        </w:rPr>
        <w:t>71/2006/QH11</w:t>
      </w:r>
      <w:bookmarkEnd w:id="16"/>
      <w:r>
        <w:rPr>
          <w:i/>
          <w:iCs/>
        </w:rPr>
        <w:t xml:space="preserve"> của Quốc hội phê chuẩn Nghị định thư gia nhập Hiệp định thành lập Tổ chức Thương mại Thế giới của nước Cộng hòa xã hội chủ nghĩa Việt Nam;</w:t>
      </w:r>
    </w:p>
    <w:p>
      <w:pPr>
        <w:pStyle w:val="Normal"/>
        <w:bidi w:val="0"/>
        <w:spacing w:before="120" w:after="280"/>
        <w:rPr>
          <w:i/>
          <w:iCs/>
        </w:rPr>
      </w:pPr>
      <w:r>
        <w:rPr>
          <w:i/>
          <w:iCs/>
        </w:rPr>
        <w:t>Theo đề nghị của Bộ trưởng Bộ Tài chính;</w:t>
      </w:r>
    </w:p>
    <w:p>
      <w:pPr>
        <w:pStyle w:val="Normal"/>
        <w:bidi w:val="0"/>
        <w:spacing w:before="120" w:after="280"/>
        <w:rPr>
          <w:i/>
          <w:iCs/>
        </w:rPr>
      </w:pPr>
      <w:r>
        <w:rPr>
          <w:i/>
          <w:iCs/>
        </w:rPr>
        <w:t xml:space="preserve">Chính phủ ban hành Nghị định sửa đổi mức thuế suất thuế nhập khẩu ưu đãi đối với một số mặt hàng xăng, dầu, nguyên liệu sản xuất xăng, dầu tại Biểu thuế nhập khẩu ưu đãi ban hành kèm theo Nghị định số </w:t>
      </w:r>
      <w:bookmarkStart w:id="17" w:name="tvpllink_aneophtzwu"/>
      <w:r>
        <w:rPr>
          <w:i/>
          <w:iCs/>
        </w:rPr>
        <w:t>26/2023/NĐ-CP</w:t>
      </w:r>
      <w:bookmarkEnd w:id="17"/>
      <w:r>
        <w:rPr>
          <w:i/>
          <w:iCs/>
        </w:rPr>
        <w:t xml:space="preserve"> ngày 31 tháng 5 năm 2023 của Chính phủ về Biểu thuế xuất khẩu, Biểu thuế nhập khẩu ưu đãi, Danh mục hàng hóa và mức thuế tuyệt đối, thuế hỗn hợp, thuế nhập khẩu ngoài hạn ngạch thuế quan.</w:t>
      </w:r>
    </w:p>
    <w:p>
      <w:pPr>
        <w:pStyle w:val="Normal"/>
        <w:bidi w:val="0"/>
        <w:spacing w:before="120" w:after="280"/>
        <w:rPr>
          <w:b/>
          <w:bCs/>
        </w:rPr>
      </w:pPr>
      <w:bookmarkStart w:id="18" w:name="dieu_1"/>
      <w:r>
        <w:rPr>
          <w:b/>
          <w:bCs/>
        </w:rPr>
        <w:t>Điều 1. Sửa đổi mức thuế suất thuế nhập khẩu ưu đãi đối với một số mặt hàng xăng, dầu, nguyên liệu sản xuất xăng, dầu tại Biểu thuế nhập khẩu ưu đãi ban hành kèm theo Nghị định số 26/2023/NĐ-CP ngày 31 tháng 5 năm 2023 của Chính phủ về Biểu thuế xuất khẩu, Biểu thuế nhập khẩu ưu đãi, Danh mục hàng hóa và mức thuế tuyệt đối, thuế hỗn hợp, thuế nhập khẩu ngoài hạn ngạch thuế quan</w:t>
      </w:r>
      <w:bookmarkEnd w:id="18"/>
    </w:p>
    <w:p>
      <w:pPr>
        <w:pStyle w:val="Normal"/>
        <w:bidi w:val="0"/>
        <w:spacing w:before="120" w:after="280"/>
        <w:rPr/>
      </w:pPr>
      <w:r>
        <w:rPr/>
        <w:t xml:space="preserve">Sửa đổi mức thuế suất thuế nhập khẩu ưu đãi đối với một số mặt hàng xăng, dầu, nguyên liệu sản xuất xăng, dầu quy định tại Phụ lục II - Biểu thuế nhập khẩu ưu đãi theo Danh mục mặt hàng chịu thuế ban hành kèm theo Nghị định số </w:t>
      </w:r>
      <w:bookmarkStart w:id="19" w:name="tvpllink_aneophtzwu_1"/>
      <w:r>
        <w:rPr/>
        <w:t>26/2023/NĐ-CP</w:t>
      </w:r>
      <w:bookmarkEnd w:id="19"/>
      <w:r>
        <w:rPr/>
        <w:t xml:space="preserve"> ngày 31 tháng 5 năm 2023 của Chính phủ về Biểu thuế xuất khẩu, Biểu thuế nhập khẩu ưu đãi, Danh mục hàng hóa và mức thuế tuyệt đối, thuế hỗn hợp, thuế nhập khẩu ngoài hạn ngạch thuế quan thành các mức thuế suất thuế nhập khẩu ưu đãi mới quy định tại Phụ lục ban hành kèm theo Nghị định này.</w:t>
      </w:r>
    </w:p>
    <w:p>
      <w:pPr>
        <w:pStyle w:val="Normal"/>
        <w:bidi w:val="0"/>
        <w:spacing w:before="120" w:after="280"/>
        <w:rPr>
          <w:b/>
          <w:bCs/>
        </w:rPr>
      </w:pPr>
      <w:bookmarkStart w:id="20" w:name="dieu_2"/>
      <w:r>
        <w:rPr>
          <w:b/>
          <w:bCs/>
        </w:rPr>
        <w:t>Điều 2. Hiệu lực thi hành</w:t>
      </w:r>
      <w:bookmarkEnd w:id="20"/>
    </w:p>
    <w:p>
      <w:pPr>
        <w:pStyle w:val="Normal"/>
        <w:bidi w:val="0"/>
        <w:spacing w:before="120" w:after="280"/>
        <w:rPr/>
      </w:pPr>
      <w:r>
        <w:rPr/>
        <w:t xml:space="preserve">1. Nghị định này có hiệu lực kể từ ngày ký đến ngày 30 tháng 4 năm 2026. Sau ngày Nghị định này hết hiệu lực, mức thuế suất thuế nhập khẩu ưu đãi đối với một số mặt hàng xăng, dầu, nguyên liệu sản xuất xăng, dầu quy định tại Phụ lục ban hành kèm theo Nghị định này được thực hiện theo quy định tại Nghị định số </w:t>
      </w:r>
      <w:bookmarkStart w:id="21" w:name="tvpllink_aneophtzwu_2"/>
      <w:r>
        <w:rPr/>
        <w:t>26/2023/NĐ-CP</w:t>
      </w:r>
      <w:bookmarkEnd w:id="21"/>
      <w:r>
        <w:rPr/>
        <w:t>, trừ trường hợp quy định tại khoản 2 Điều này.</w:t>
      </w:r>
    </w:p>
    <w:p>
      <w:pPr>
        <w:pStyle w:val="Normal"/>
        <w:bidi w:val="0"/>
        <w:spacing w:before="120" w:after="280"/>
        <w:rPr/>
      </w:pPr>
      <w:bookmarkStart w:id="22" w:name="khoan_2_2"/>
      <w:r>
        <w:rPr/>
        <w:t>2. Trường hợp đáp ứng yêu cầu cấp bách về đảm bảo phát triển kinh tế - xã hội, ổn định thị trường xăng, dầu cần phải kéo dài thời gian có hiệu lực của Nghị định, Bộ Công Thương có ý kiến đề xuất gửi Bộ Tài chính chủ trì, tổng hợp trình Chính phủ ban hành Nghị quyết quy phạm pháp luật để kéo dài thời hạn áp dụng của Nghị định này.</w:t>
      </w:r>
      <w:bookmarkEnd w:id="22"/>
    </w:p>
    <w:p>
      <w:pPr>
        <w:pStyle w:val="Normal"/>
        <w:bidi w:val="0"/>
        <w:spacing w:before="120" w:after="280"/>
        <w:rPr/>
      </w:pPr>
      <w:r>
        <w:rPr/>
        <w:t>3. Các Bộ trưởng, Thủ trưởng cơ quan ngang bộ, Chủ tịch Ủy ban nhân dân các tỉnh, thành phố trực thuộc trung ương và các tổ chức, cá nhân có liên quan chịu trách nhiệm thi hành Nghị định này.</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280"/>
              <w:rPr/>
            </w:pPr>
            <w:r>
              <w:rPr/>
              <w:t> </w:t>
            </w:r>
          </w:p>
          <w:p>
            <w:pPr>
              <w:pStyle w:val="Normal"/>
              <w:bidi w:val="0"/>
              <w:spacing w:before="120" w:after="0"/>
              <w:rPr/>
            </w:pPr>
            <w:r>
              <w:rPr>
                <w:b/>
                <w:bCs/>
                <w:i/>
                <w:iCs/>
              </w:rP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xml:space="preserve">- Văn phòng Trung ương và các Ban của Đảng; </w:t>
              <w:br/>
              <w:t>- Văn phòng Tổng Bí thư;</w:t>
              <w:br/>
              <w:t>- Văn phòng Chủ tịch nước;</w:t>
              <w:br/>
              <w:t xml:space="preserve">- Hội đồng Dân tộc và các Ủy ban của Quốc hội; </w:t>
              <w:br/>
              <w:t>- Văn phòng Quốc hội;</w:t>
              <w:br/>
              <w:t>- Tòa án nhân dân tối cao;</w:t>
              <w:br/>
              <w:t>- Viện kiểm sát nhân dân tối cao;</w:t>
              <w:br/>
              <w:t>- Kiểm toán nhà nước;</w:t>
              <w:br/>
              <w:t xml:space="preserve">- Ủy ban Trung ương Mặt trận Tổ quốc Việt Nam; </w:t>
              <w:br/>
              <w:t xml:space="preserve">- Cơ quan trung ương của các tổ chức chính trị - xã hội; </w:t>
              <w:br/>
              <w:t>- VPCP: BTCN, các PCN, Trợ lý TTg, TGĐ Cổng TTĐT,</w:t>
              <w:br/>
              <w:t>các Vụ, Cục, đơn vị trực thuộc, Công báo;</w:t>
              <w:br/>
              <w:t>- Lưu: VT, KTTH (2b).</w:t>
            </w:r>
          </w:p>
        </w:tc>
        <w:tc>
          <w:tcPr>
            <w:tcW w:w="4986" w:type="dxa"/>
            <w:tcBorders/>
          </w:tcPr>
          <w:p>
            <w:pPr>
              <w:pStyle w:val="Normal"/>
              <w:bidi w:val="0"/>
              <w:spacing w:before="120" w:after="0"/>
              <w:jc w:val="center"/>
              <w:rPr/>
            </w:pPr>
            <w:r>
              <w:rPr>
                <w:b/>
                <w:bCs/>
              </w:rPr>
              <w:t>TM. CHÍNH PHỦ</w:t>
            </w:r>
            <w:r>
              <w:rPr/>
              <w:br/>
            </w:r>
            <w:r>
              <w:rPr>
                <w:b/>
                <w:bCs/>
              </w:rPr>
              <w:t>KT. THỦ TƯỚNG</w:t>
            </w:r>
            <w:r>
              <w:rPr/>
              <w:br/>
            </w:r>
            <w:r>
              <w:rPr>
                <w:b/>
                <w:bCs/>
              </w:rPr>
              <w:t>PHÓ THỦ TƯỚNG</w:t>
            </w:r>
            <w:r>
              <w:rPr/>
              <w:br/>
              <w:br/>
              <w:br/>
              <w:br/>
              <w:br/>
            </w:r>
            <w:r>
              <w:rPr>
                <w:b/>
                <w:bCs/>
              </w:rPr>
              <w:t>Hồ Đức Phớc</w:t>
            </w:r>
          </w:p>
        </w:tc>
      </w:tr>
    </w:tbl>
    <w:p>
      <w:pPr>
        <w:pStyle w:val="Normal"/>
        <w:bidi w:val="0"/>
        <w:spacing w:before="120" w:after="280"/>
        <w:rPr/>
      </w:pPr>
      <w:r>
        <w:rPr/>
        <w:t> </w:t>
      </w:r>
    </w:p>
    <w:p>
      <w:pPr>
        <w:pStyle w:val="Normal"/>
        <w:bidi w:val="0"/>
        <w:spacing w:before="120" w:after="280"/>
        <w:jc w:val="center"/>
        <w:rPr>
          <w:b/>
          <w:bCs/>
          <w:sz w:val="24"/>
        </w:rPr>
      </w:pPr>
      <w:bookmarkStart w:id="23" w:name="chuong_pl"/>
      <w:r>
        <w:rPr>
          <w:b/>
          <w:bCs/>
          <w:sz w:val="24"/>
        </w:rPr>
        <w:t>PHỤ LỤC</w:t>
      </w:r>
      <w:bookmarkEnd w:id="23"/>
    </w:p>
    <w:p>
      <w:pPr>
        <w:pStyle w:val="Normal"/>
        <w:bidi w:val="0"/>
        <w:spacing w:before="120" w:after="280"/>
        <w:jc w:val="center"/>
        <w:rPr/>
      </w:pPr>
      <w:bookmarkStart w:id="24" w:name="chuong_pl_name"/>
      <w:r>
        <w:rPr/>
        <w:t>SỬA ĐỔI MỨC THUẾ SUẤT THUẾ NHẬP KHẨU ƯU ĐÃI CỦA MỘT SỐ MẶT HÀNG XĂNG, DẦU, NGUYÊN LIỆU SẢN XUẤT XĂNG, DẦU TẠI PHỤ LỤC II BAN HÀNH KÈM THEO NGHỊ ĐỊNH SỐ 26/2023/NĐ-CP</w:t>
      </w:r>
      <w:bookmarkEnd w:id="24"/>
      <w:r>
        <w:rPr/>
        <w:t xml:space="preserve"> </w:t>
        <w:br/>
      </w:r>
      <w:r>
        <w:rPr>
          <w:i/>
          <w:iCs/>
        </w:rPr>
        <w:t>(Kèm theo Nghị định số 72/2026/NĐ-CP ngày 09 tháng 3 năm 2026 của Chính phủ)</w:t>
      </w:r>
    </w:p>
    <w:tbl>
      <w:tblPr>
        <w:tblW w:w="5000" w:type="pct"/>
        <w:jc w:val="start"/>
        <w:tblInd w:w="0" w:type="dxa"/>
        <w:tblLayout w:type="fixed"/>
        <w:tblCellMar>
          <w:top w:w="0" w:type="dxa"/>
          <w:start w:w="10" w:type="dxa"/>
          <w:bottom w:w="0" w:type="dxa"/>
          <w:end w:w="10" w:type="dxa"/>
        </w:tblCellMar>
      </w:tblPr>
      <w:tblGrid>
        <w:gridCol w:w="1462"/>
        <w:gridCol w:w="7255"/>
        <w:gridCol w:w="1255"/>
      </w:tblGrid>
      <w:tr>
        <w:trPr/>
        <w:tc>
          <w:tcPr>
            <w:tcW w:w="146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Mã hàng</w:t>
            </w:r>
          </w:p>
        </w:tc>
        <w:tc>
          <w:tcPr>
            <w:tcW w:w="725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Mô tả hàng hóa</w:t>
            </w:r>
          </w:p>
        </w:tc>
        <w:tc>
          <w:tcPr>
            <w:tcW w:w="125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Thuế suất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27.07</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Dầu và các sản phẩm khác từ chưng cất hắc ín than đá ở nhiệt độ cao; các sản phẩm tương tự có khối lượng cấu tử thơm lớn hơn cấu tử không thơm.</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2707.10.00</w:t>
            </w:r>
          </w:p>
        </w:tc>
        <w:tc>
          <w:tcPr>
            <w:tcW w:w="7255" w:type="dxa"/>
            <w:tcBorders>
              <w:bottom w:val="single" w:sz="8" w:space="0" w:color="000000"/>
              <w:end w:val="single" w:sz="8" w:space="0" w:color="000000"/>
            </w:tcBorders>
            <w:vAlign w:val="center"/>
          </w:tcPr>
          <w:p>
            <w:pPr>
              <w:pStyle w:val="Normal"/>
              <w:bidi w:val="0"/>
              <w:spacing w:before="120" w:after="0"/>
              <w:rPr/>
            </w:pPr>
            <w:r>
              <w:rPr/>
              <w:t>- Benzen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3</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2707.20.00</w:t>
            </w:r>
          </w:p>
        </w:tc>
        <w:tc>
          <w:tcPr>
            <w:tcW w:w="7255" w:type="dxa"/>
            <w:tcBorders>
              <w:bottom w:val="single" w:sz="8" w:space="0" w:color="000000"/>
              <w:end w:val="single" w:sz="8" w:space="0" w:color="000000"/>
            </w:tcBorders>
            <w:vAlign w:val="center"/>
          </w:tcPr>
          <w:p>
            <w:pPr>
              <w:pStyle w:val="Normal"/>
              <w:bidi w:val="0"/>
              <w:spacing w:before="120" w:after="0"/>
              <w:rPr/>
            </w:pPr>
            <w:r>
              <w:rPr/>
              <w:t>- Toluen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2707.30.00</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 Xylen</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2707.40.00</w:t>
            </w:r>
          </w:p>
        </w:tc>
        <w:tc>
          <w:tcPr>
            <w:tcW w:w="7255" w:type="dxa"/>
            <w:tcBorders>
              <w:bottom w:val="single" w:sz="8" w:space="0" w:color="000000"/>
              <w:end w:val="single" w:sz="8" w:space="0" w:color="000000"/>
            </w:tcBorders>
            <w:vAlign w:val="center"/>
          </w:tcPr>
          <w:p>
            <w:pPr>
              <w:pStyle w:val="Normal"/>
              <w:bidi w:val="0"/>
              <w:spacing w:before="120" w:after="0"/>
              <w:rPr/>
            </w:pPr>
            <w:r>
              <w:rPr/>
              <w:t>- Naphthalen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2707.50.00</w:t>
            </w:r>
          </w:p>
        </w:tc>
        <w:tc>
          <w:tcPr>
            <w:tcW w:w="7255" w:type="dxa"/>
            <w:tcBorders>
              <w:bottom w:val="single" w:sz="8" w:space="0" w:color="000000"/>
              <w:end w:val="single" w:sz="8" w:space="0" w:color="000000"/>
            </w:tcBorders>
            <w:vAlign w:val="center"/>
          </w:tcPr>
          <w:p>
            <w:pPr>
              <w:pStyle w:val="Normal"/>
              <w:bidi w:val="0"/>
              <w:spacing w:before="120" w:after="0"/>
              <w:rPr/>
            </w:pPr>
            <w:r>
              <w:rPr/>
              <w:t>- Các hỗn hợp hydrocarbon thơm khác có từ 65% thể tích trở lên (kể cả lượng hao hụt) được chưng cất ở nhiệt độ 250°C theo phương pháp ISO 3405 (tương đương phương pháp ASTM D 86)</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Loại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2707.91.00</w:t>
            </w:r>
          </w:p>
        </w:tc>
        <w:tc>
          <w:tcPr>
            <w:tcW w:w="7255" w:type="dxa"/>
            <w:tcBorders>
              <w:bottom w:val="single" w:sz="8" w:space="0" w:color="000000"/>
              <w:end w:val="single" w:sz="8" w:space="0" w:color="000000"/>
            </w:tcBorders>
            <w:vAlign w:val="center"/>
          </w:tcPr>
          <w:p>
            <w:pPr>
              <w:pStyle w:val="Normal"/>
              <w:bidi w:val="0"/>
              <w:spacing w:before="120" w:after="0"/>
              <w:rPr/>
            </w:pPr>
            <w:r>
              <w:rPr/>
              <w:t>- - Dầu creosote</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2707.99</w:t>
            </w:r>
          </w:p>
        </w:tc>
        <w:tc>
          <w:tcPr>
            <w:tcW w:w="7255" w:type="dxa"/>
            <w:tcBorders>
              <w:bottom w:val="single" w:sz="8" w:space="0" w:color="000000"/>
              <w:end w:val="single" w:sz="8" w:space="0" w:color="000000"/>
            </w:tcBorders>
            <w:vAlign w:val="center"/>
          </w:tcPr>
          <w:p>
            <w:pPr>
              <w:pStyle w:val="Normal"/>
              <w:bidi w:val="0"/>
              <w:spacing w:before="120" w:after="0"/>
              <w:rPr/>
            </w:pPr>
            <w:r>
              <w:rPr/>
              <w:t>- - Loại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2707.99.10</w:t>
            </w:r>
          </w:p>
        </w:tc>
        <w:tc>
          <w:tcPr>
            <w:tcW w:w="7255" w:type="dxa"/>
            <w:tcBorders>
              <w:bottom w:val="single" w:sz="8" w:space="0" w:color="000000"/>
              <w:end w:val="single" w:sz="8" w:space="0" w:color="000000"/>
            </w:tcBorders>
            <w:vAlign w:val="center"/>
          </w:tcPr>
          <w:p>
            <w:pPr>
              <w:pStyle w:val="Normal"/>
              <w:bidi w:val="0"/>
              <w:spacing w:before="120" w:after="0"/>
              <w:rPr/>
            </w:pPr>
            <w:r>
              <w:rPr/>
              <w:t>- - - Nguyên liệu để sản xuất than đen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2707.99.90</w:t>
            </w:r>
          </w:p>
        </w:tc>
        <w:tc>
          <w:tcPr>
            <w:tcW w:w="7255" w:type="dxa"/>
            <w:tcBorders>
              <w:bottom w:val="single" w:sz="8" w:space="0" w:color="000000"/>
              <w:end w:val="single" w:sz="8" w:space="0" w:color="000000"/>
            </w:tcBorders>
            <w:vAlign w:val="center"/>
          </w:tcPr>
          <w:p>
            <w:pPr>
              <w:pStyle w:val="Normal"/>
              <w:bidi w:val="0"/>
              <w:spacing w:before="120" w:after="0"/>
              <w:rPr/>
            </w:pPr>
            <w:r>
              <w:rPr/>
              <w:t>- - - Loại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27.09</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Dầu mỏ và các loại dầu thu được từ các khoáng bi-tum, ở dạng thô.</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2709.00.10</w:t>
            </w:r>
          </w:p>
        </w:tc>
        <w:tc>
          <w:tcPr>
            <w:tcW w:w="7255" w:type="dxa"/>
            <w:tcBorders>
              <w:bottom w:val="single" w:sz="8" w:space="0" w:color="000000"/>
              <w:end w:val="single" w:sz="8" w:space="0" w:color="000000"/>
            </w:tcBorders>
            <w:vAlign w:val="center"/>
          </w:tcPr>
          <w:p>
            <w:pPr>
              <w:pStyle w:val="Normal"/>
              <w:bidi w:val="0"/>
              <w:spacing w:before="120" w:after="0"/>
              <w:rPr/>
            </w:pPr>
            <w:r>
              <w:rPr/>
              <w:t>- Dầu mỏ thô</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2709.00.20</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 Condensate</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2709.00.90</w:t>
            </w:r>
          </w:p>
        </w:tc>
        <w:tc>
          <w:tcPr>
            <w:tcW w:w="7255" w:type="dxa"/>
            <w:tcBorders>
              <w:bottom w:val="single" w:sz="8" w:space="0" w:color="000000"/>
              <w:end w:val="single" w:sz="8" w:space="0" w:color="000000"/>
            </w:tcBorders>
            <w:vAlign w:val="center"/>
          </w:tcPr>
          <w:p>
            <w:pPr>
              <w:pStyle w:val="Normal"/>
              <w:bidi w:val="0"/>
              <w:spacing w:before="120" w:after="0"/>
              <w:rPr/>
            </w:pPr>
            <w:r>
              <w:rPr/>
              <w:t>- Loại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27.10</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Dầu có nguồn gốc từ dầu mỏ và các loại dầu thu được từ các khoáng bi-tum, trừ dầu thô; các chế phẩm chưa được chi tiết hoặc ghi ở nơi khác, có chứa hàm lượng từ 70% trở lên là dầu có nguồn gốc từ dầu mỏ hoặc các loại dầu thu được từ các khoáng bi-tum, những loại dầu này là thành phần cơ bản của các chế phẩm đó; dầu thải.</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Dầu có nguồn gốc từ dầu mỏ và các loại dầu thu được từ các khoáng bi-tum (trừ dầu thô) và các chế phẩm chưa được chi tiết hoặc ghi ở nơi khác, có chứa hàm lượng từ 70% trở lên là dầu có nguồn gốc từ dầu mỏ hoặc các loại dầu thu được từ các khoáng bi-tum, những loại dầu này là thành phần cơ bản của các chế phẩm đó, trừ loại chứa dầu diesel sinh học và trừ dầu thải:</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w:t>
            </w:r>
          </w:p>
        </w:tc>
        <w:tc>
          <w:tcPr>
            <w:tcW w:w="7255" w:type="dxa"/>
            <w:tcBorders>
              <w:bottom w:val="single" w:sz="8" w:space="0" w:color="000000"/>
              <w:end w:val="single" w:sz="8" w:space="0" w:color="000000"/>
            </w:tcBorders>
            <w:vAlign w:val="center"/>
          </w:tcPr>
          <w:p>
            <w:pPr>
              <w:pStyle w:val="Normal"/>
              <w:bidi w:val="0"/>
              <w:spacing w:before="120" w:after="0"/>
              <w:rPr/>
            </w:pPr>
            <w:r>
              <w:rPr/>
              <w:t>- - Dầu nhẹ và các chế phẩm:</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 - Xăng động cơ, có pha chì:</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2710.12.11</w:t>
            </w:r>
          </w:p>
        </w:tc>
        <w:tc>
          <w:tcPr>
            <w:tcW w:w="7255" w:type="dxa"/>
            <w:tcBorders>
              <w:bottom w:val="single" w:sz="8" w:space="0" w:color="000000"/>
              <w:end w:val="single" w:sz="8" w:space="0" w:color="000000"/>
            </w:tcBorders>
            <w:vAlign w:val="center"/>
          </w:tcPr>
          <w:p>
            <w:pPr>
              <w:pStyle w:val="Normal"/>
              <w:bidi w:val="0"/>
              <w:spacing w:before="120" w:after="0"/>
              <w:rPr/>
            </w:pPr>
            <w:r>
              <w:rPr/>
              <w:t>- - - - RON 97 và cao hơn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20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2710.12.12</w:t>
            </w:r>
          </w:p>
        </w:tc>
        <w:tc>
          <w:tcPr>
            <w:tcW w:w="7255" w:type="dxa"/>
            <w:tcBorders>
              <w:bottom w:val="single" w:sz="8" w:space="0" w:color="000000"/>
              <w:end w:val="single" w:sz="8" w:space="0" w:color="000000"/>
            </w:tcBorders>
            <w:vAlign w:val="center"/>
          </w:tcPr>
          <w:p>
            <w:pPr>
              <w:pStyle w:val="Normal"/>
              <w:bidi w:val="0"/>
              <w:spacing w:before="120" w:after="0"/>
              <w:rPr/>
            </w:pPr>
            <w:r>
              <w:rPr/>
              <w:t>- - - - RON 90 và cao hơn nhưng dưới RON 97</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20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2710.12.13</w:t>
            </w:r>
          </w:p>
        </w:tc>
        <w:tc>
          <w:tcPr>
            <w:tcW w:w="7255" w:type="dxa"/>
            <w:tcBorders>
              <w:bottom w:val="single" w:sz="8" w:space="0" w:color="000000"/>
              <w:end w:val="single" w:sz="8" w:space="0" w:color="000000"/>
            </w:tcBorders>
            <w:vAlign w:val="center"/>
          </w:tcPr>
          <w:p>
            <w:pPr>
              <w:pStyle w:val="Normal"/>
              <w:bidi w:val="0"/>
              <w:spacing w:before="120" w:after="0"/>
              <w:rPr/>
            </w:pPr>
            <w:r>
              <w:rPr/>
              <w:t>- - - - RON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20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 - Xăng động cơ, không pha chì:</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 - - RON 97 và cao hơn: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2710.12.21</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 - - - - Chưa pha chế</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2710.12.22</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 - - - - Pha chế với ethanol</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2710.12.23</w:t>
            </w:r>
          </w:p>
        </w:tc>
        <w:tc>
          <w:tcPr>
            <w:tcW w:w="7255" w:type="dxa"/>
            <w:tcBorders>
              <w:bottom w:val="single" w:sz="8" w:space="0" w:color="000000"/>
              <w:end w:val="single" w:sz="8" w:space="0" w:color="000000"/>
            </w:tcBorders>
            <w:vAlign w:val="center"/>
          </w:tcPr>
          <w:p>
            <w:pPr>
              <w:pStyle w:val="Normal"/>
              <w:bidi w:val="0"/>
              <w:spacing w:before="120" w:after="0"/>
              <w:rPr/>
            </w:pPr>
            <w:r>
              <w:rPr/>
              <w:t>- - - - - Loại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10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 - - RON 90 và cao hơn nhưng dưới RON 97:</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2710.12.24</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 - - - - Chưa pha chế</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2710.12.25</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 - - - - Pha chế với ethanol</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2710.12.26</w:t>
            </w:r>
          </w:p>
        </w:tc>
        <w:tc>
          <w:tcPr>
            <w:tcW w:w="7255" w:type="dxa"/>
            <w:tcBorders>
              <w:bottom w:val="single" w:sz="8" w:space="0" w:color="000000"/>
              <w:end w:val="single" w:sz="8" w:space="0" w:color="000000"/>
            </w:tcBorders>
            <w:vAlign w:val="center"/>
          </w:tcPr>
          <w:p>
            <w:pPr>
              <w:pStyle w:val="Normal"/>
              <w:bidi w:val="0"/>
              <w:spacing w:before="120" w:after="0"/>
              <w:rPr/>
            </w:pPr>
            <w:r>
              <w:rPr/>
              <w:t>- - - - - Loại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10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 - - RON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2710.12.27</w:t>
            </w:r>
          </w:p>
        </w:tc>
        <w:tc>
          <w:tcPr>
            <w:tcW w:w="7255" w:type="dxa"/>
            <w:tcBorders>
              <w:bottom w:val="single" w:sz="8" w:space="0" w:color="000000"/>
              <w:end w:val="single" w:sz="8" w:space="0" w:color="000000"/>
            </w:tcBorders>
            <w:vAlign w:val="center"/>
          </w:tcPr>
          <w:p>
            <w:pPr>
              <w:pStyle w:val="Normal"/>
              <w:bidi w:val="0"/>
              <w:spacing w:before="120" w:after="0"/>
              <w:rPr/>
            </w:pPr>
            <w:r>
              <w:rPr/>
              <w:t>- - - - - Chưa pha chế</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10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2710.12.28</w:t>
            </w:r>
          </w:p>
        </w:tc>
        <w:tc>
          <w:tcPr>
            <w:tcW w:w="7255" w:type="dxa"/>
            <w:tcBorders>
              <w:bottom w:val="single" w:sz="8" w:space="0" w:color="000000"/>
              <w:end w:val="single" w:sz="8" w:space="0" w:color="000000"/>
            </w:tcBorders>
            <w:vAlign w:val="center"/>
          </w:tcPr>
          <w:p>
            <w:pPr>
              <w:pStyle w:val="Normal"/>
              <w:bidi w:val="0"/>
              <w:spacing w:before="120" w:after="0"/>
              <w:rPr/>
            </w:pPr>
            <w:r>
              <w:rPr/>
              <w:t>- - - - - Pha chế với ethanol</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10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2710.12.29</w:t>
            </w:r>
          </w:p>
        </w:tc>
        <w:tc>
          <w:tcPr>
            <w:tcW w:w="7255" w:type="dxa"/>
            <w:tcBorders>
              <w:bottom w:val="single" w:sz="8" w:space="0" w:color="000000"/>
              <w:end w:val="single" w:sz="8" w:space="0" w:color="000000"/>
            </w:tcBorders>
            <w:vAlign w:val="center"/>
          </w:tcPr>
          <w:p>
            <w:pPr>
              <w:pStyle w:val="Normal"/>
              <w:bidi w:val="0"/>
              <w:spacing w:before="120" w:after="0"/>
              <w:rPr/>
            </w:pPr>
            <w:r>
              <w:rPr/>
              <w:t>- - - - - Loại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10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 - Xăng máy bay, loại sử dụng cho động cơ máy bay kiểu piston: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2710.12.31</w:t>
            </w:r>
          </w:p>
        </w:tc>
        <w:tc>
          <w:tcPr>
            <w:tcW w:w="7255" w:type="dxa"/>
            <w:tcBorders>
              <w:bottom w:val="single" w:sz="8" w:space="0" w:color="000000"/>
              <w:end w:val="single" w:sz="8" w:space="0" w:color="000000"/>
            </w:tcBorders>
            <w:vAlign w:val="center"/>
          </w:tcPr>
          <w:p>
            <w:pPr>
              <w:pStyle w:val="Normal"/>
              <w:bidi w:val="0"/>
              <w:spacing w:before="120" w:after="0"/>
              <w:rPr/>
            </w:pPr>
            <w:r>
              <w:rPr/>
              <w:t>- - - - Octane 100 và cao hơn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7</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2710.12.39</w:t>
            </w:r>
          </w:p>
        </w:tc>
        <w:tc>
          <w:tcPr>
            <w:tcW w:w="7255" w:type="dxa"/>
            <w:tcBorders>
              <w:bottom w:val="single" w:sz="8" w:space="0" w:color="000000"/>
              <w:end w:val="single" w:sz="8" w:space="0" w:color="000000"/>
            </w:tcBorders>
            <w:vAlign w:val="center"/>
          </w:tcPr>
          <w:p>
            <w:pPr>
              <w:pStyle w:val="Normal"/>
              <w:bidi w:val="0"/>
              <w:spacing w:before="120" w:after="0"/>
              <w:rPr/>
            </w:pPr>
            <w:r>
              <w:rPr/>
              <w:t>- - - - Loại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7</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2710.12.40</w:t>
            </w:r>
          </w:p>
        </w:tc>
        <w:tc>
          <w:tcPr>
            <w:tcW w:w="7255" w:type="dxa"/>
            <w:tcBorders>
              <w:bottom w:val="single" w:sz="8" w:space="0" w:color="000000"/>
              <w:end w:val="single" w:sz="8" w:space="0" w:color="000000"/>
            </w:tcBorders>
            <w:vAlign w:val="center"/>
          </w:tcPr>
          <w:p>
            <w:pPr>
              <w:pStyle w:val="Normal"/>
              <w:bidi w:val="0"/>
              <w:spacing w:before="120" w:after="0"/>
              <w:rPr/>
            </w:pPr>
            <w:r>
              <w:rPr/>
              <w:t>- - - Tetrapropylene</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10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2710.12.50</w:t>
            </w:r>
          </w:p>
        </w:tc>
        <w:tc>
          <w:tcPr>
            <w:tcW w:w="7255" w:type="dxa"/>
            <w:tcBorders>
              <w:bottom w:val="single" w:sz="8" w:space="0" w:color="000000"/>
              <w:end w:val="single" w:sz="8" w:space="0" w:color="000000"/>
            </w:tcBorders>
            <w:vAlign w:val="center"/>
          </w:tcPr>
          <w:p>
            <w:pPr>
              <w:pStyle w:val="Normal"/>
              <w:bidi w:val="0"/>
              <w:spacing w:before="120" w:after="0"/>
              <w:rPr/>
            </w:pPr>
            <w:r>
              <w:rPr/>
              <w:t>- - - Dung môi trắng (white spirit)</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10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2710.12.60</w:t>
            </w:r>
          </w:p>
        </w:tc>
        <w:tc>
          <w:tcPr>
            <w:tcW w:w="7255" w:type="dxa"/>
            <w:tcBorders>
              <w:bottom w:val="single" w:sz="8" w:space="0" w:color="000000"/>
              <w:end w:val="single" w:sz="8" w:space="0" w:color="000000"/>
            </w:tcBorders>
            <w:vAlign w:val="center"/>
          </w:tcPr>
          <w:p>
            <w:pPr>
              <w:pStyle w:val="Normal"/>
              <w:bidi w:val="0"/>
              <w:spacing w:before="120" w:after="0"/>
              <w:rPr/>
            </w:pPr>
            <w:r>
              <w:rPr/>
              <w:t>- - - Dung môi có hàm lượng cấu tử thơm thấp dưới 1% tính theo trọng lượng</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10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2710.12.70</w:t>
            </w:r>
          </w:p>
        </w:tc>
        <w:tc>
          <w:tcPr>
            <w:tcW w:w="7255" w:type="dxa"/>
            <w:tcBorders>
              <w:bottom w:val="single" w:sz="8" w:space="0" w:color="000000"/>
              <w:end w:val="single" w:sz="8" w:space="0" w:color="000000"/>
            </w:tcBorders>
            <w:vAlign w:val="center"/>
          </w:tcPr>
          <w:p>
            <w:pPr>
              <w:pStyle w:val="Normal"/>
              <w:bidi w:val="0"/>
              <w:spacing w:before="120" w:after="0"/>
              <w:rPr/>
            </w:pPr>
            <w:r>
              <w:rPr/>
              <w:t>- - - Dung môi nhẹ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10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2710.12.80</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 - - Naphtha, reformate và các chế phẩm khác để pha chế xăng động cơ</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 </w:t>
            </w:r>
          </w:p>
        </w:tc>
        <w:tc>
          <w:tcPr>
            <w:tcW w:w="7255" w:type="dxa"/>
            <w:tcBorders>
              <w:bottom w:val="single" w:sz="8" w:space="0" w:color="000000"/>
              <w:end w:val="single" w:sz="8" w:space="0" w:color="000000"/>
            </w:tcBorders>
            <w:vAlign w:val="center"/>
          </w:tcPr>
          <w:p>
            <w:pPr>
              <w:pStyle w:val="Normal"/>
              <w:bidi w:val="0"/>
              <w:spacing w:before="120" w:after="0"/>
              <w:rPr/>
            </w:pPr>
            <w:r>
              <w:rPr/>
              <w:t>- - - Loại khác:</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2710.12.91</w:t>
            </w:r>
          </w:p>
        </w:tc>
        <w:tc>
          <w:tcPr>
            <w:tcW w:w="7255" w:type="dxa"/>
            <w:tcBorders>
              <w:bottom w:val="single" w:sz="8" w:space="0" w:color="000000"/>
              <w:end w:val="single" w:sz="8" w:space="0" w:color="000000"/>
            </w:tcBorders>
            <w:vAlign w:val="center"/>
          </w:tcPr>
          <w:p>
            <w:pPr>
              <w:pStyle w:val="Normal"/>
              <w:bidi w:val="0"/>
              <w:spacing w:before="120" w:after="0"/>
              <w:rPr/>
            </w:pPr>
            <w:r>
              <w:rPr/>
              <w:t>- - - - Alpha olefins</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10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2710.12.92</w:t>
            </w:r>
          </w:p>
        </w:tc>
        <w:tc>
          <w:tcPr>
            <w:tcW w:w="7255" w:type="dxa"/>
            <w:tcBorders>
              <w:bottom w:val="single" w:sz="8" w:space="0" w:color="000000"/>
              <w:end w:val="single" w:sz="8" w:space="0" w:color="000000"/>
            </w:tcBorders>
            <w:vAlign w:val="center"/>
          </w:tcPr>
          <w:p>
            <w:pPr>
              <w:pStyle w:val="Normal"/>
              <w:bidi w:val="0"/>
              <w:spacing w:before="120" w:after="0"/>
              <w:rPr/>
            </w:pPr>
            <w:r>
              <w:rPr/>
              <w:t>- - - - Loại khác, spirit dầu mỏ, có độ chớp cháy dưới 23°C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10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2710.12.99</w:t>
            </w:r>
          </w:p>
        </w:tc>
        <w:tc>
          <w:tcPr>
            <w:tcW w:w="7255" w:type="dxa"/>
            <w:tcBorders>
              <w:bottom w:val="single" w:sz="8" w:space="0" w:color="000000"/>
              <w:end w:val="single" w:sz="8" w:space="0" w:color="000000"/>
            </w:tcBorders>
            <w:vAlign w:val="center"/>
          </w:tcPr>
          <w:p>
            <w:pPr>
              <w:pStyle w:val="Normal"/>
              <w:bidi w:val="0"/>
              <w:spacing w:before="120" w:after="0"/>
              <w:rPr/>
            </w:pPr>
            <w:r>
              <w:rPr/>
              <w:t>- - - - Loại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10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2710.19</w:t>
            </w:r>
          </w:p>
        </w:tc>
        <w:tc>
          <w:tcPr>
            <w:tcW w:w="7255" w:type="dxa"/>
            <w:tcBorders>
              <w:bottom w:val="single" w:sz="8" w:space="0" w:color="000000"/>
              <w:end w:val="single" w:sz="8" w:space="0" w:color="000000"/>
            </w:tcBorders>
            <w:vAlign w:val="center"/>
          </w:tcPr>
          <w:p>
            <w:pPr>
              <w:pStyle w:val="Normal"/>
              <w:bidi w:val="0"/>
              <w:spacing w:before="120" w:after="0"/>
              <w:rPr/>
            </w:pPr>
            <w:r>
              <w:rPr/>
              <w:t>- - Loại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2710.19.20</w:t>
            </w:r>
          </w:p>
        </w:tc>
        <w:tc>
          <w:tcPr>
            <w:tcW w:w="7255" w:type="dxa"/>
            <w:tcBorders>
              <w:bottom w:val="single" w:sz="8" w:space="0" w:color="000000"/>
              <w:end w:val="single" w:sz="8" w:space="0" w:color="000000"/>
            </w:tcBorders>
            <w:vAlign w:val="center"/>
          </w:tcPr>
          <w:p>
            <w:pPr>
              <w:pStyle w:val="Normal"/>
              <w:bidi w:val="0"/>
              <w:spacing w:before="120" w:after="0"/>
              <w:rPr/>
            </w:pPr>
            <w:r>
              <w:rPr/>
              <w:t>- - - Dầu thô đã tách phần nhẹ</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5</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2710.19.30</w:t>
            </w:r>
          </w:p>
        </w:tc>
        <w:tc>
          <w:tcPr>
            <w:tcW w:w="7255" w:type="dxa"/>
            <w:tcBorders>
              <w:bottom w:val="single" w:sz="8" w:space="0" w:color="000000"/>
              <w:end w:val="single" w:sz="8" w:space="0" w:color="000000"/>
            </w:tcBorders>
            <w:vAlign w:val="center"/>
          </w:tcPr>
          <w:p>
            <w:pPr>
              <w:pStyle w:val="Normal"/>
              <w:bidi w:val="0"/>
              <w:spacing w:before="120" w:after="0"/>
              <w:rPr/>
            </w:pPr>
            <w:r>
              <w:rPr/>
              <w:t>- - - Nguyên liệu để sản xuất than đen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5</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 - Dầu và mỡ bôi trơn: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2710.19.41</w:t>
            </w:r>
          </w:p>
        </w:tc>
        <w:tc>
          <w:tcPr>
            <w:tcW w:w="7255" w:type="dxa"/>
            <w:tcBorders>
              <w:bottom w:val="single" w:sz="8" w:space="0" w:color="000000"/>
              <w:end w:val="single" w:sz="8" w:space="0" w:color="000000"/>
            </w:tcBorders>
            <w:vAlign w:val="center"/>
          </w:tcPr>
          <w:p>
            <w:pPr>
              <w:pStyle w:val="Normal"/>
              <w:bidi w:val="0"/>
              <w:spacing w:before="120" w:after="0"/>
              <w:rPr/>
            </w:pPr>
            <w:r>
              <w:rPr/>
              <w:t>- - - - Dầu khoáng đã tinh chế để sản xuất dầu bôi trơn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5</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2710.19.42</w:t>
            </w:r>
          </w:p>
        </w:tc>
        <w:tc>
          <w:tcPr>
            <w:tcW w:w="7255" w:type="dxa"/>
            <w:tcBorders>
              <w:bottom w:val="single" w:sz="8" w:space="0" w:color="000000"/>
              <w:end w:val="single" w:sz="8" w:space="0" w:color="000000"/>
            </w:tcBorders>
            <w:vAlign w:val="center"/>
          </w:tcPr>
          <w:p>
            <w:pPr>
              <w:pStyle w:val="Normal"/>
              <w:bidi w:val="0"/>
              <w:spacing w:before="120" w:after="0"/>
              <w:rPr/>
            </w:pPr>
            <w:r>
              <w:rPr/>
              <w:t>- - - - Dầu bôi trơn cho động cơ máy bay</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5</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2710.19.44</w:t>
            </w:r>
          </w:p>
        </w:tc>
        <w:tc>
          <w:tcPr>
            <w:tcW w:w="7255" w:type="dxa"/>
            <w:tcBorders>
              <w:bottom w:val="single" w:sz="8" w:space="0" w:color="000000"/>
              <w:end w:val="single" w:sz="8" w:space="0" w:color="000000"/>
            </w:tcBorders>
            <w:vAlign w:val="center"/>
          </w:tcPr>
          <w:p>
            <w:pPr>
              <w:pStyle w:val="Normal"/>
              <w:bidi w:val="0"/>
              <w:spacing w:before="120" w:after="0"/>
              <w:rPr/>
            </w:pPr>
            <w:r>
              <w:rPr/>
              <w:t>- - - - Mỡ bôi trơn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5</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2710.19.45</w:t>
            </w:r>
          </w:p>
        </w:tc>
        <w:tc>
          <w:tcPr>
            <w:tcW w:w="7255" w:type="dxa"/>
            <w:tcBorders>
              <w:bottom w:val="single" w:sz="8" w:space="0" w:color="000000"/>
              <w:end w:val="single" w:sz="8" w:space="0" w:color="000000"/>
            </w:tcBorders>
            <w:vAlign w:val="center"/>
          </w:tcPr>
          <w:p>
            <w:pPr>
              <w:pStyle w:val="Normal"/>
              <w:bidi w:val="0"/>
              <w:spacing w:before="120" w:after="0"/>
              <w:rPr/>
            </w:pPr>
            <w:r>
              <w:rPr/>
              <w:t>- - - - Dầu bôi trơn cho nguyên liệu dệt</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5</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2710.19.46</w:t>
            </w:r>
          </w:p>
        </w:tc>
        <w:tc>
          <w:tcPr>
            <w:tcW w:w="7255" w:type="dxa"/>
            <w:tcBorders>
              <w:bottom w:val="single" w:sz="8" w:space="0" w:color="000000"/>
              <w:end w:val="single" w:sz="8" w:space="0" w:color="000000"/>
            </w:tcBorders>
            <w:vAlign w:val="center"/>
          </w:tcPr>
          <w:p>
            <w:pPr>
              <w:pStyle w:val="Normal"/>
              <w:bidi w:val="0"/>
              <w:spacing w:before="120" w:after="0"/>
              <w:rPr/>
            </w:pPr>
            <w:r>
              <w:rPr/>
              <w:t>- - - - Dầu bôi trơn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5</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2710.19.50</w:t>
            </w:r>
          </w:p>
        </w:tc>
        <w:tc>
          <w:tcPr>
            <w:tcW w:w="7255" w:type="dxa"/>
            <w:tcBorders>
              <w:bottom w:val="single" w:sz="8" w:space="0" w:color="000000"/>
              <w:end w:val="single" w:sz="8" w:space="0" w:color="000000"/>
            </w:tcBorders>
            <w:vAlign w:val="center"/>
          </w:tcPr>
          <w:p>
            <w:pPr>
              <w:pStyle w:val="Normal"/>
              <w:bidi w:val="0"/>
              <w:spacing w:before="120" w:after="0"/>
              <w:rPr/>
            </w:pPr>
            <w:r>
              <w:rPr/>
              <w:t>- - - Dầu dùng trong bộ hãm thủy lực (dầu phanh)</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3</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2710.19.60</w:t>
            </w:r>
          </w:p>
        </w:tc>
        <w:tc>
          <w:tcPr>
            <w:tcW w:w="7255" w:type="dxa"/>
            <w:tcBorders>
              <w:bottom w:val="single" w:sz="8" w:space="0" w:color="000000"/>
              <w:end w:val="single" w:sz="8" w:space="0" w:color="000000"/>
            </w:tcBorders>
            <w:vAlign w:val="center"/>
          </w:tcPr>
          <w:p>
            <w:pPr>
              <w:pStyle w:val="Normal"/>
              <w:bidi w:val="0"/>
              <w:spacing w:before="120" w:after="0"/>
              <w:rPr/>
            </w:pPr>
            <w:r>
              <w:rPr/>
              <w:t>- - - Dầu dùng cho máy biến điện (máy biến áp và máy biến dòng) và dầu dùng cho bộ phận ngắt mạch</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5</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 - Nhiên liệu diesel; các loại dầu nhiên liệu:</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2710.19.71</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 - - - Nhiên liệu diesel cho ô tô</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2710.19.72</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 - - - Nhiên liệu diesel khác</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2710.19.79</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 - - - Dầu nhiên liệu</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2710.19.81</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 - - Nhiên liệu động cơ máy bay (nhiên liệu phản lực) có độ chớp cháy từ 23°C trở lên</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2710.19.82</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 - - Nhiên liệu động cơ máy bay (nhiên liệu phản lực) có độ chớp cháy dưới 23°C</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2710.19.83</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 - - Các kerosine khác</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2710.19.89</w:t>
            </w:r>
          </w:p>
        </w:tc>
        <w:tc>
          <w:tcPr>
            <w:tcW w:w="7255" w:type="dxa"/>
            <w:tcBorders>
              <w:bottom w:val="single" w:sz="8" w:space="0" w:color="000000"/>
              <w:end w:val="single" w:sz="8" w:space="0" w:color="000000"/>
            </w:tcBorders>
            <w:vAlign w:val="center"/>
          </w:tcPr>
          <w:p>
            <w:pPr>
              <w:pStyle w:val="Normal"/>
              <w:bidi w:val="0"/>
              <w:spacing w:before="120" w:after="0"/>
              <w:rPr/>
            </w:pPr>
            <w:r>
              <w:rPr/>
              <w:t>- - - Dầu trung khác và các chế phẩm</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5</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2710.19.90</w:t>
            </w:r>
          </w:p>
        </w:tc>
        <w:tc>
          <w:tcPr>
            <w:tcW w:w="7255" w:type="dxa"/>
            <w:tcBorders>
              <w:bottom w:val="single" w:sz="8" w:space="0" w:color="000000"/>
              <w:end w:val="single" w:sz="8" w:space="0" w:color="000000"/>
            </w:tcBorders>
            <w:vAlign w:val="center"/>
          </w:tcPr>
          <w:p>
            <w:pPr>
              <w:pStyle w:val="Normal"/>
              <w:bidi w:val="0"/>
              <w:spacing w:before="120" w:after="0"/>
              <w:rPr/>
            </w:pPr>
            <w:r>
              <w:rPr/>
              <w:t>- - - Loại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2710.20.00</w:t>
            </w:r>
          </w:p>
        </w:tc>
        <w:tc>
          <w:tcPr>
            <w:tcW w:w="7255" w:type="dxa"/>
            <w:tcBorders>
              <w:bottom w:val="single" w:sz="8" w:space="0" w:color="000000"/>
              <w:end w:val="single" w:sz="8" w:space="0" w:color="000000"/>
            </w:tcBorders>
            <w:vAlign w:val="center"/>
          </w:tcPr>
          <w:p>
            <w:pPr>
              <w:pStyle w:val="Normal"/>
              <w:bidi w:val="0"/>
              <w:spacing w:before="120" w:after="0"/>
              <w:rPr/>
            </w:pPr>
            <w:r>
              <w:rPr/>
              <w:t>- Dầu mỏ và các loại dầu thu được từ các khoáng bi-tum (trừ dầu thô) và các chế phẩm chưa được chi tiết hoặc ghi ở nơi khác, có chứa từ 70% trọng lượng trở lên là dầu mỏ hoặc các loại dầu thu được từ các khoáng bi-tum, những loại dầu này là thành phần cơ bản của các chế phẩm đó, có chứa dầu diesel sinh học, trừ dầu thải</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Dầu thải:</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2710.91.00</w:t>
            </w:r>
          </w:p>
        </w:tc>
        <w:tc>
          <w:tcPr>
            <w:tcW w:w="7255" w:type="dxa"/>
            <w:tcBorders>
              <w:bottom w:val="single" w:sz="8" w:space="0" w:color="000000"/>
              <w:end w:val="single" w:sz="8" w:space="0" w:color="000000"/>
            </w:tcBorders>
            <w:vAlign w:val="center"/>
          </w:tcPr>
          <w:p>
            <w:pPr>
              <w:pStyle w:val="Normal"/>
              <w:bidi w:val="0"/>
              <w:spacing w:before="120" w:after="0"/>
              <w:rPr/>
            </w:pPr>
            <w:r>
              <w:rPr/>
              <w:t>- - Chứa polychlorinated biphenyls (PCBs), polychlorinated terphenyls (PCTs) hoặc polybrominated biphenyls (PBBs)</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20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2710.99.00</w:t>
            </w:r>
          </w:p>
        </w:tc>
        <w:tc>
          <w:tcPr>
            <w:tcW w:w="7255" w:type="dxa"/>
            <w:tcBorders>
              <w:bottom w:val="single" w:sz="8" w:space="0" w:color="000000"/>
              <w:end w:val="single" w:sz="8" w:space="0" w:color="000000"/>
            </w:tcBorders>
            <w:vAlign w:val="center"/>
          </w:tcPr>
          <w:p>
            <w:pPr>
              <w:pStyle w:val="Normal"/>
              <w:bidi w:val="0"/>
              <w:spacing w:before="120" w:after="0"/>
              <w:rPr/>
            </w:pPr>
            <w:r>
              <w:rPr/>
              <w:t>- - Loại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20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29.02</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Hydrocarbon mạch vòng.</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 </w:t>
            </w:r>
          </w:p>
        </w:tc>
        <w:tc>
          <w:tcPr>
            <w:tcW w:w="7255" w:type="dxa"/>
            <w:tcBorders>
              <w:bottom w:val="single" w:sz="8" w:space="0" w:color="000000"/>
              <w:end w:val="single" w:sz="8" w:space="0" w:color="000000"/>
            </w:tcBorders>
            <w:vAlign w:val="center"/>
          </w:tcPr>
          <w:p>
            <w:pPr>
              <w:pStyle w:val="Normal"/>
              <w:bidi w:val="0"/>
              <w:spacing w:before="120" w:after="0"/>
              <w:rPr/>
            </w:pPr>
            <w:r>
              <w:rPr/>
              <w:t>- Cyclanes, cyclenes và cycloterpenes:</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2902.11.00</w:t>
            </w:r>
          </w:p>
        </w:tc>
        <w:tc>
          <w:tcPr>
            <w:tcW w:w="7255" w:type="dxa"/>
            <w:tcBorders>
              <w:bottom w:val="single" w:sz="8" w:space="0" w:color="000000"/>
              <w:end w:val="single" w:sz="8" w:space="0" w:color="000000"/>
            </w:tcBorders>
            <w:vAlign w:val="center"/>
          </w:tcPr>
          <w:p>
            <w:pPr>
              <w:pStyle w:val="Normal"/>
              <w:bidi w:val="0"/>
              <w:spacing w:before="120" w:after="0"/>
              <w:rPr/>
            </w:pPr>
            <w:r>
              <w:rPr/>
              <w:t>- - Cyclohexane</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2902.19.00</w:t>
            </w:r>
          </w:p>
        </w:tc>
        <w:tc>
          <w:tcPr>
            <w:tcW w:w="7255" w:type="dxa"/>
            <w:tcBorders>
              <w:bottom w:val="single" w:sz="8" w:space="0" w:color="000000"/>
              <w:end w:val="single" w:sz="8" w:space="0" w:color="000000"/>
            </w:tcBorders>
            <w:vAlign w:val="center"/>
          </w:tcPr>
          <w:p>
            <w:pPr>
              <w:pStyle w:val="Normal"/>
              <w:bidi w:val="0"/>
              <w:spacing w:before="120" w:after="0"/>
              <w:rPr/>
            </w:pPr>
            <w:r>
              <w:rPr/>
              <w:t>- - Loại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2902.20.00</w:t>
            </w:r>
          </w:p>
        </w:tc>
        <w:tc>
          <w:tcPr>
            <w:tcW w:w="7255" w:type="dxa"/>
            <w:tcBorders>
              <w:bottom w:val="single" w:sz="8" w:space="0" w:color="000000"/>
              <w:end w:val="single" w:sz="8" w:space="0" w:color="000000"/>
            </w:tcBorders>
            <w:vAlign w:val="center"/>
          </w:tcPr>
          <w:p>
            <w:pPr>
              <w:pStyle w:val="Normal"/>
              <w:bidi w:val="0"/>
              <w:spacing w:before="120" w:after="0"/>
              <w:rPr/>
            </w:pPr>
            <w:r>
              <w:rPr/>
              <w:t>- Benzen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3</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2902.30.00</w:t>
            </w:r>
          </w:p>
        </w:tc>
        <w:tc>
          <w:tcPr>
            <w:tcW w:w="7255" w:type="dxa"/>
            <w:tcBorders>
              <w:bottom w:val="single" w:sz="8" w:space="0" w:color="000000"/>
              <w:end w:val="single" w:sz="8" w:space="0" w:color="000000"/>
            </w:tcBorders>
            <w:vAlign w:val="center"/>
          </w:tcPr>
          <w:p>
            <w:pPr>
              <w:pStyle w:val="Normal"/>
              <w:bidi w:val="0"/>
              <w:spacing w:before="120" w:after="0"/>
              <w:rPr/>
            </w:pPr>
            <w:r>
              <w:rPr/>
              <w:t>- Toluen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 </w:t>
            </w:r>
          </w:p>
        </w:tc>
        <w:tc>
          <w:tcPr>
            <w:tcW w:w="7255" w:type="dxa"/>
            <w:tcBorders>
              <w:bottom w:val="single" w:sz="8" w:space="0" w:color="000000"/>
              <w:end w:val="single" w:sz="8" w:space="0" w:color="000000"/>
            </w:tcBorders>
            <w:vAlign w:val="center"/>
          </w:tcPr>
          <w:p>
            <w:pPr>
              <w:pStyle w:val="Normal"/>
              <w:bidi w:val="0"/>
              <w:spacing w:before="120" w:after="0"/>
              <w:rPr/>
            </w:pPr>
            <w:r>
              <w:rPr/>
              <w:t>- Xylenes:</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2902.41.00</w:t>
            </w:r>
          </w:p>
        </w:tc>
        <w:tc>
          <w:tcPr>
            <w:tcW w:w="7255" w:type="dxa"/>
            <w:tcBorders>
              <w:bottom w:val="single" w:sz="8" w:space="0" w:color="000000"/>
              <w:end w:val="single" w:sz="8" w:space="0" w:color="000000"/>
            </w:tcBorders>
            <w:vAlign w:val="center"/>
          </w:tcPr>
          <w:p>
            <w:pPr>
              <w:pStyle w:val="Normal"/>
              <w:bidi w:val="0"/>
              <w:spacing w:before="120" w:after="0"/>
              <w:rPr/>
            </w:pPr>
            <w:r>
              <w:rPr/>
              <w:t xml:space="preserve">- - </w:t>
            </w:r>
            <w:r>
              <w:rPr>
                <w:i/>
                <w:iCs/>
              </w:rPr>
              <w:t>o</w:t>
            </w:r>
            <w:r>
              <w:rPr/>
              <w:t>-Xylen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2902.42.00</w:t>
            </w:r>
          </w:p>
        </w:tc>
        <w:tc>
          <w:tcPr>
            <w:tcW w:w="7255" w:type="dxa"/>
            <w:tcBorders>
              <w:bottom w:val="single" w:sz="8" w:space="0" w:color="000000"/>
              <w:end w:val="single" w:sz="8" w:space="0" w:color="000000"/>
            </w:tcBorders>
            <w:vAlign w:val="center"/>
          </w:tcPr>
          <w:p>
            <w:pPr>
              <w:pStyle w:val="Normal"/>
              <w:bidi w:val="0"/>
              <w:spacing w:before="120" w:after="0"/>
              <w:rPr/>
            </w:pPr>
            <w:r>
              <w:rPr/>
              <w:t xml:space="preserve">- - </w:t>
            </w:r>
            <w:r>
              <w:rPr>
                <w:i/>
                <w:iCs/>
              </w:rPr>
              <w:t>m</w:t>
            </w:r>
            <w:r>
              <w:rPr/>
              <w:t>-Xylen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2902.43.00</w:t>
            </w:r>
          </w:p>
        </w:tc>
        <w:tc>
          <w:tcPr>
            <w:tcW w:w="7255" w:type="dxa"/>
            <w:tcBorders>
              <w:bottom w:val="single" w:sz="8" w:space="0" w:color="000000"/>
              <w:end w:val="single" w:sz="8" w:space="0" w:color="000000"/>
            </w:tcBorders>
            <w:vAlign w:val="center"/>
          </w:tcPr>
          <w:p>
            <w:pPr>
              <w:pStyle w:val="Normal"/>
              <w:bidi w:val="0"/>
              <w:spacing w:before="120" w:after="0"/>
              <w:rPr/>
            </w:pPr>
            <w:r>
              <w:rPr>
                <w:b/>
                <w:bCs/>
              </w:rPr>
              <w:t xml:space="preserve">- - </w:t>
            </w:r>
            <w:r>
              <w:rPr>
                <w:b/>
                <w:bCs/>
                <w:i/>
                <w:iCs/>
              </w:rPr>
              <w:t>p</w:t>
            </w:r>
            <w:r>
              <w:rPr>
                <w:b/>
                <w:bCs/>
              </w:rPr>
              <w:t>-Xylen</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2902.44.00</w:t>
            </w:r>
          </w:p>
        </w:tc>
        <w:tc>
          <w:tcPr>
            <w:tcW w:w="7255" w:type="dxa"/>
            <w:tcBorders>
              <w:bottom w:val="single" w:sz="8" w:space="0" w:color="000000"/>
              <w:end w:val="single" w:sz="8" w:space="0" w:color="000000"/>
            </w:tcBorders>
            <w:vAlign w:val="center"/>
          </w:tcPr>
          <w:p>
            <w:pPr>
              <w:pStyle w:val="Normal"/>
              <w:bidi w:val="0"/>
              <w:spacing w:before="120" w:after="0"/>
              <w:rPr/>
            </w:pPr>
            <w:r>
              <w:rPr/>
              <w:t>- - Hỗn hợp các đồng phân của xylen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2902.50.00</w:t>
            </w:r>
          </w:p>
        </w:tc>
        <w:tc>
          <w:tcPr>
            <w:tcW w:w="7255" w:type="dxa"/>
            <w:tcBorders>
              <w:bottom w:val="single" w:sz="8" w:space="0" w:color="000000"/>
              <w:end w:val="single" w:sz="8" w:space="0" w:color="000000"/>
            </w:tcBorders>
            <w:vAlign w:val="center"/>
          </w:tcPr>
          <w:p>
            <w:pPr>
              <w:pStyle w:val="Normal"/>
              <w:bidi w:val="0"/>
              <w:spacing w:before="120" w:after="0"/>
              <w:rPr/>
            </w:pPr>
            <w:r>
              <w:rPr/>
              <w:t>- Styren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2902.60.00</w:t>
            </w:r>
          </w:p>
        </w:tc>
        <w:tc>
          <w:tcPr>
            <w:tcW w:w="7255" w:type="dxa"/>
            <w:tcBorders>
              <w:bottom w:val="single" w:sz="8" w:space="0" w:color="000000"/>
              <w:end w:val="single" w:sz="8" w:space="0" w:color="000000"/>
            </w:tcBorders>
            <w:vAlign w:val="center"/>
          </w:tcPr>
          <w:p>
            <w:pPr>
              <w:pStyle w:val="Normal"/>
              <w:bidi w:val="0"/>
              <w:spacing w:before="120" w:after="0"/>
              <w:rPr/>
            </w:pPr>
            <w:r>
              <w:rPr/>
              <w:t>- Etylbenzen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2902.70.00</w:t>
            </w:r>
          </w:p>
        </w:tc>
        <w:tc>
          <w:tcPr>
            <w:tcW w:w="7255" w:type="dxa"/>
            <w:tcBorders>
              <w:bottom w:val="single" w:sz="8" w:space="0" w:color="000000"/>
              <w:end w:val="single" w:sz="8" w:space="0" w:color="000000"/>
            </w:tcBorders>
            <w:vAlign w:val="center"/>
          </w:tcPr>
          <w:p>
            <w:pPr>
              <w:pStyle w:val="Normal"/>
              <w:bidi w:val="0"/>
              <w:spacing w:before="120" w:after="0"/>
              <w:rPr/>
            </w:pPr>
            <w:r>
              <w:rPr/>
              <w:t>- Cumen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2902.90</w:t>
            </w:r>
          </w:p>
        </w:tc>
        <w:tc>
          <w:tcPr>
            <w:tcW w:w="7255" w:type="dxa"/>
            <w:tcBorders>
              <w:bottom w:val="single" w:sz="8" w:space="0" w:color="000000"/>
              <w:end w:val="single" w:sz="8" w:space="0" w:color="000000"/>
            </w:tcBorders>
            <w:vAlign w:val="center"/>
          </w:tcPr>
          <w:p>
            <w:pPr>
              <w:pStyle w:val="Normal"/>
              <w:bidi w:val="0"/>
              <w:spacing w:before="120" w:after="0"/>
              <w:rPr/>
            </w:pPr>
            <w:r>
              <w:rPr/>
              <w:t>- Loại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2902.90.10</w:t>
            </w:r>
          </w:p>
        </w:tc>
        <w:tc>
          <w:tcPr>
            <w:tcW w:w="7255" w:type="dxa"/>
            <w:tcBorders>
              <w:bottom w:val="single" w:sz="8" w:space="0" w:color="000000"/>
              <w:end w:val="single" w:sz="8" w:space="0" w:color="000000"/>
            </w:tcBorders>
            <w:vAlign w:val="center"/>
          </w:tcPr>
          <w:p>
            <w:pPr>
              <w:pStyle w:val="Normal"/>
              <w:bidi w:val="0"/>
              <w:spacing w:before="120" w:after="0"/>
              <w:rPr/>
            </w:pPr>
            <w:r>
              <w:rPr/>
              <w:t>- - Dodecylbenzen</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pPr>
            <w:r>
              <w:rPr/>
              <w:t>2902.90.20</w:t>
            </w:r>
          </w:p>
        </w:tc>
        <w:tc>
          <w:tcPr>
            <w:tcW w:w="7255" w:type="dxa"/>
            <w:tcBorders>
              <w:bottom w:val="single" w:sz="8" w:space="0" w:color="000000"/>
              <w:end w:val="single" w:sz="8" w:space="0" w:color="000000"/>
            </w:tcBorders>
            <w:vAlign w:val="center"/>
          </w:tcPr>
          <w:p>
            <w:pPr>
              <w:pStyle w:val="Normal"/>
              <w:bidi w:val="0"/>
              <w:spacing w:before="120" w:after="0"/>
              <w:rPr/>
            </w:pPr>
            <w:r>
              <w:rPr/>
              <w:t>- - Các loại alkylbenzen khác</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0</w:t>
            </w:r>
          </w:p>
        </w:tc>
      </w:tr>
      <w:tr>
        <w:trPr/>
        <w:tc>
          <w:tcPr>
            <w:tcW w:w="1462"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2902.90.90</w:t>
            </w:r>
          </w:p>
        </w:tc>
        <w:tc>
          <w:tcPr>
            <w:tcW w:w="7255" w:type="dxa"/>
            <w:tcBorders>
              <w:bottom w:val="single" w:sz="8" w:space="0" w:color="000000"/>
              <w:end w:val="single" w:sz="8" w:space="0" w:color="000000"/>
            </w:tcBorders>
            <w:vAlign w:val="center"/>
          </w:tcPr>
          <w:p>
            <w:pPr>
              <w:pStyle w:val="Normal"/>
              <w:bidi w:val="0"/>
              <w:spacing w:before="120" w:after="0"/>
              <w:rPr>
                <w:b/>
                <w:bCs/>
              </w:rPr>
            </w:pPr>
            <w:r>
              <w:rPr>
                <w:b/>
                <w:bCs/>
              </w:rPr>
              <w:t>- - Loại khác</w:t>
            </w:r>
          </w:p>
        </w:tc>
        <w:tc>
          <w:tcPr>
            <w:tcW w:w="1255" w:type="dxa"/>
            <w:tcBorders>
              <w:bottom w:val="single" w:sz="8" w:space="0" w:color="000000"/>
              <w:end w:val="single" w:sz="8" w:space="0" w:color="000000"/>
            </w:tcBorders>
            <w:vAlign w:val="center"/>
          </w:tcPr>
          <w:p>
            <w:pPr>
              <w:pStyle w:val="Normal"/>
              <w:bidi w:val="0"/>
              <w:spacing w:before="120" w:after="0"/>
              <w:jc w:val="center"/>
              <w:rPr>
                <w:b/>
                <w:bCs/>
              </w:rPr>
            </w:pPr>
            <w:r>
              <w:rPr>
                <w:b/>
                <w:bCs/>
              </w:rPr>
              <w:t>0</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