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color w:val="000000"/>
                <w:sz w:val="20"/>
              </w:rPr>
              <w:t>ỦY BAN NHÂN DÂN</w:t>
            </w:r>
            <w:r>
              <w:rPr>
                <w:color w:val="000000"/>
                <w:sz w:val="20"/>
              </w:rPr>
              <w:br/>
            </w:r>
            <w:r>
              <w:rPr>
                <w:b/>
                <w:bCs/>
                <w:color w:val="000000"/>
                <w:sz w:val="20"/>
              </w:rPr>
              <w:t>TỈNH THANH HÓA</w:t>
              <w:br/>
              <w:t>--------</w:t>
            </w:r>
          </w:p>
        </w:tc>
        <w:tc>
          <w:tcPr>
            <w:tcW w:w="6607" w:type="dxa"/>
            <w:tcBorders/>
          </w:tcPr>
          <w:p>
            <w:pPr>
              <w:pStyle w:val="Normal"/>
              <w:bidi w:val="0"/>
              <w:spacing w:before="0" w:after="0"/>
              <w:jc w:val="center"/>
              <w:rPr/>
            </w:pPr>
            <w:r>
              <w:rPr>
                <w:b/>
                <w:bCs/>
                <w:sz w:val="20"/>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color w:val="000000"/>
                <w:sz w:val="20"/>
              </w:rPr>
              <w:t>Số: 733/QĐ-UBND</w:t>
            </w:r>
          </w:p>
        </w:tc>
        <w:tc>
          <w:tcPr>
            <w:tcW w:w="6607" w:type="dxa"/>
            <w:tcBorders/>
          </w:tcPr>
          <w:p>
            <w:pPr>
              <w:pStyle w:val="Normal"/>
              <w:bidi w:val="0"/>
              <w:spacing w:before="0" w:after="0"/>
              <w:jc w:val="end"/>
              <w:rPr/>
            </w:pPr>
            <w:r>
              <w:rPr>
                <w:i/>
                <w:iCs/>
                <w:color w:val="000000"/>
                <w:sz w:val="20"/>
              </w:rPr>
              <w:t xml:space="preserve">Thanh Hóa, ngày 16 tháng 3 năm 2026 </w:t>
            </w:r>
          </w:p>
        </w:tc>
      </w:tr>
    </w:tbl>
    <w:p>
      <w:pPr>
        <w:pStyle w:val="Normal"/>
        <w:bidi w:val="0"/>
        <w:spacing w:before="0" w:after="120"/>
        <w:rPr>
          <w:sz w:val="20"/>
        </w:rPr>
      </w:pPr>
      <w:r>
        <w:rPr>
          <w:sz w:val="20"/>
        </w:rPr>
        <w:t> </w:t>
      </w:r>
    </w:p>
    <w:p>
      <w:pPr>
        <w:pStyle w:val="Normal"/>
        <w:bidi w:val="0"/>
        <w:spacing w:before="0" w:after="120"/>
        <w:jc w:val="center"/>
        <w:rPr>
          <w:b/>
          <w:bCs/>
          <w:color w:val="000000"/>
          <w:sz w:val="24"/>
        </w:rPr>
      </w:pPr>
      <w:r>
        <w:rPr>
          <w:b/>
          <w:bCs/>
          <w:color w:val="000000"/>
          <w:sz w:val="24"/>
        </w:rPr>
        <w:t xml:space="preserve">QUYẾT ĐỊNH </w:t>
      </w:r>
    </w:p>
    <w:p>
      <w:pPr>
        <w:pStyle w:val="Normal"/>
        <w:bidi w:val="0"/>
        <w:spacing w:before="0" w:after="120"/>
        <w:jc w:val="center"/>
        <w:rPr>
          <w:color w:val="000000"/>
          <w:sz w:val="20"/>
        </w:rPr>
      </w:pPr>
      <w:r>
        <w:rPr>
          <w:color w:val="000000"/>
          <w:sz w:val="20"/>
        </w:rPr>
        <w:t xml:space="preserve">BÃI BỎ QUYẾT ĐỊNH SỐ 54/2024/QĐ-UBND NGÀY 09 THÁNG 9 NĂM 2024 CỦA ỦY BAN NHÂN DÂN TỈNH BAN HÀNH QUY CHẾ QUẢN LÝ, PHÂN CẤP QUẢN LÝ HÒA GIẢI VIÊN LAO ĐỘNG TRÊN ĐỊA BÀN TỈNH THANH HÓA </w:t>
      </w:r>
    </w:p>
    <w:p>
      <w:pPr>
        <w:pStyle w:val="Normal"/>
        <w:bidi w:val="0"/>
        <w:spacing w:before="0" w:after="120"/>
        <w:jc w:val="center"/>
        <w:rPr>
          <w:b/>
          <w:bCs/>
          <w:color w:val="000000"/>
          <w:sz w:val="24"/>
        </w:rPr>
      </w:pPr>
      <w:r>
        <w:rPr>
          <w:b/>
          <w:bCs/>
          <w:color w:val="000000"/>
          <w:sz w:val="24"/>
        </w:rPr>
        <w:t>ỦY BAN NHÂN DÂN TỈNH THANH HOÁ</w:t>
      </w:r>
    </w:p>
    <w:p>
      <w:pPr>
        <w:pStyle w:val="Normal"/>
        <w:bidi w:val="0"/>
        <w:spacing w:before="0" w:after="120"/>
        <w:rPr>
          <w:i/>
          <w:iCs/>
          <w:color w:val="000000"/>
          <w:sz w:val="20"/>
        </w:rPr>
      </w:pPr>
      <w:r>
        <w:rPr>
          <w:i/>
          <w:iCs/>
          <w:color w:val="000000"/>
          <w:sz w:val="20"/>
        </w:rPr>
        <w:t xml:space="preserve">Căn cứ Luật Tổ chức chính quyền địa phương số 72/2025/QH15 ngày 16 tháng 6 năm 2025; </w:t>
      </w:r>
    </w:p>
    <w:p>
      <w:pPr>
        <w:pStyle w:val="Normal"/>
        <w:bidi w:val="0"/>
        <w:spacing w:before="0" w:after="120"/>
        <w:rPr>
          <w:i/>
          <w:iCs/>
          <w:color w:val="000000"/>
          <w:sz w:val="20"/>
        </w:rPr>
      </w:pPr>
      <w:r>
        <w:rPr>
          <w:i/>
          <w:iCs/>
          <w:color w:val="000000"/>
          <w:sz w:val="20"/>
        </w:rPr>
        <w:t xml:space="preserve">Căn cứ Luật Ban hành văn bản quy phạm pháp luật số 64/2025/QH15 ngày 19 tháng 02 năm 2025; </w:t>
      </w:r>
    </w:p>
    <w:p>
      <w:pPr>
        <w:pStyle w:val="Normal"/>
        <w:bidi w:val="0"/>
        <w:spacing w:before="0" w:after="120"/>
        <w:rPr>
          <w:i/>
          <w:iCs/>
          <w:color w:val="000000"/>
          <w:sz w:val="20"/>
        </w:rPr>
      </w:pPr>
      <w:r>
        <w:rPr>
          <w:i/>
          <w:iCs/>
          <w:color w:val="000000"/>
          <w:sz w:val="20"/>
        </w:rPr>
        <w:t xml:space="preserve">Căn cứ Luật sửa đổi, bổ sung một số điều của Luật Ban hành văn bản quy phạm pháp luật số 87/2025/QH15 ngày 25 tháng 6 năm 2025; </w:t>
      </w:r>
    </w:p>
    <w:p>
      <w:pPr>
        <w:pStyle w:val="Normal"/>
        <w:bidi w:val="0"/>
        <w:spacing w:before="0" w:after="120"/>
        <w:rPr>
          <w:i/>
          <w:iCs/>
          <w:color w:val="000000"/>
          <w:sz w:val="20"/>
        </w:rPr>
      </w:pPr>
      <w:r>
        <w:rPr>
          <w:i/>
          <w:iCs/>
          <w:color w:val="000000"/>
          <w:sz w:val="20"/>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pPr>
        <w:pStyle w:val="Normal"/>
        <w:bidi w:val="0"/>
        <w:spacing w:before="0" w:after="120"/>
        <w:rPr>
          <w:i/>
          <w:iCs/>
          <w:color w:val="000000"/>
          <w:sz w:val="20"/>
        </w:rPr>
      </w:pPr>
      <w:r>
        <w:rPr>
          <w:i/>
          <w:iCs/>
          <w:color w:val="000000"/>
          <w:sz w:val="20"/>
        </w:rPr>
        <w:t xml:space="preserve">Theo đề nghị của Giám đốc Sở Nội vụ tại Tờ trình số 259/TTr-SNV ngày 26 tháng 02 năm 2026. </w:t>
      </w:r>
    </w:p>
    <w:p>
      <w:pPr>
        <w:pStyle w:val="Normal"/>
        <w:bidi w:val="0"/>
        <w:spacing w:before="0" w:after="120"/>
        <w:jc w:val="center"/>
        <w:rPr>
          <w:b/>
          <w:bCs/>
          <w:color w:val="000000"/>
          <w:sz w:val="24"/>
        </w:rPr>
      </w:pPr>
      <w:r>
        <w:rPr>
          <w:b/>
          <w:bCs/>
          <w:color w:val="000000"/>
          <w:sz w:val="24"/>
        </w:rPr>
        <w:t xml:space="preserve">QUYẾT ĐỊNH: </w:t>
      </w:r>
    </w:p>
    <w:p>
      <w:pPr>
        <w:pStyle w:val="Normal"/>
        <w:bidi w:val="0"/>
        <w:spacing w:before="0" w:after="120"/>
        <w:rPr/>
      </w:pPr>
      <w:r>
        <w:rPr>
          <w:b/>
          <w:bCs/>
          <w:color w:val="000000"/>
          <w:sz w:val="20"/>
        </w:rPr>
        <w:t xml:space="preserve">Điều 1. </w:t>
      </w:r>
      <w:r>
        <w:rPr>
          <w:color w:val="000000"/>
          <w:sz w:val="20"/>
        </w:rPr>
        <w:t xml:space="preserve">Bãi bỏ Quyết định số 54/2024/QĐ-UBND ngày 09 tháng 9 năm 2024 của Ủy ban nhân dân tỉnh ban hành Quy chế quản lý, phân cấp quản lý hòa giải viên lao động trên địa bàn tỉnh Thanh Hóa. </w:t>
      </w:r>
    </w:p>
    <w:p>
      <w:pPr>
        <w:pStyle w:val="Normal"/>
        <w:bidi w:val="0"/>
        <w:spacing w:before="0" w:after="120"/>
        <w:rPr/>
      </w:pPr>
      <w:r>
        <w:rPr>
          <w:b/>
          <w:bCs/>
          <w:color w:val="000000"/>
          <w:sz w:val="20"/>
        </w:rPr>
        <w:t xml:space="preserve">Điều 2. </w:t>
      </w:r>
      <w:r>
        <w:rPr>
          <w:color w:val="000000"/>
          <w:sz w:val="20"/>
        </w:rPr>
        <w:t xml:space="preserve">Quyết định này có hiệu lực thi hành kể từ ngày ký ban hành. </w:t>
      </w:r>
    </w:p>
    <w:p>
      <w:pPr>
        <w:pStyle w:val="Normal"/>
        <w:bidi w:val="0"/>
        <w:spacing w:before="0" w:after="120"/>
        <w:rPr>
          <w:color w:val="000000"/>
          <w:sz w:val="20"/>
        </w:rPr>
      </w:pPr>
      <w:r>
        <w:rPr>
          <w:color w:val="000000"/>
          <w:sz w:val="20"/>
        </w:rPr>
        <w:t xml:space="preserve">Chánh Văn phòng Ủy ban nhân dân tỉnh; Giám đốc Sở Nội vụ; Thủ trưởng các cơ quan, đơn vị và cá nhân có liên quan chịu trách nhiệm thi hành Quyết định này./. </w:t>
      </w:r>
    </w:p>
    <w:p>
      <w:pPr>
        <w:pStyle w:val="Normal"/>
        <w:bidi w:val="0"/>
        <w:spacing w:before="0" w:after="120"/>
        <w:rPr>
          <w:color w:val="000000"/>
          <w:sz w:val="20"/>
        </w:rPr>
      </w:pPr>
      <w:r>
        <w:rPr>
          <w:color w:val="000000"/>
          <w:sz w:val="20"/>
        </w:rPr>
        <w:t> </w:t>
      </w:r>
    </w:p>
    <w:tbl>
      <w:tblPr>
        <w:tblW w:w="8262" w:type="dxa"/>
        <w:jc w:val="start"/>
        <w:tblInd w:w="0" w:type="dxa"/>
        <w:tblLayout w:type="fixed"/>
        <w:tblCellMar>
          <w:top w:w="0" w:type="dxa"/>
          <w:start w:w="108" w:type="dxa"/>
          <w:bottom w:w="0" w:type="dxa"/>
          <w:end w:w="108" w:type="dxa"/>
        </w:tblCellMar>
      </w:tblPr>
      <w:tblGrid>
        <w:gridCol w:w="4131"/>
        <w:gridCol w:w="4131"/>
      </w:tblGrid>
      <w:tr>
        <w:trPr/>
        <w:tc>
          <w:tcPr>
            <w:tcW w:w="4131" w:type="dxa"/>
            <w:tcBorders/>
          </w:tcPr>
          <w:p>
            <w:pPr>
              <w:pStyle w:val="Normal"/>
              <w:bidi w:val="0"/>
              <w:spacing w:before="0" w:after="120"/>
              <w:rPr>
                <w:b/>
                <w:bCs/>
                <w:i/>
                <w:iCs/>
                <w:color w:val="000000"/>
                <w:sz w:val="16"/>
              </w:rPr>
            </w:pPr>
            <w:r>
              <w:rPr>
                <w:b/>
                <w:bCs/>
                <w:i/>
                <w:iCs/>
                <w:color w:val="000000"/>
                <w:sz w:val="16"/>
              </w:rPr>
              <w:t> </w:t>
            </w:r>
          </w:p>
          <w:p>
            <w:pPr>
              <w:pStyle w:val="Normal"/>
              <w:bidi w:val="0"/>
              <w:spacing w:before="0" w:after="0"/>
              <w:rPr/>
            </w:pPr>
            <w:r>
              <w:rPr>
                <w:b/>
                <w:bCs/>
                <w:i/>
                <w:iCs/>
                <w:color w:val="000000"/>
                <w:sz w:val="20"/>
              </w:rPr>
              <w:t xml:space="preserve">Nơi nhận: </w:t>
              <w:br/>
            </w:r>
            <w:r>
              <w:rPr>
                <w:color w:val="000000"/>
                <w:sz w:val="16"/>
              </w:rPr>
              <w:t xml:space="preserve">- Như Điều 2 Quyết định; </w:t>
              <w:br/>
              <w:t xml:space="preserve">- Bộ Nội vụ (để báo cáo); </w:t>
              <w:br/>
              <w:t xml:space="preserve">- Lưu: VT, VHXHLĐVL33 </w:t>
            </w:r>
          </w:p>
        </w:tc>
        <w:tc>
          <w:tcPr>
            <w:tcW w:w="4131" w:type="dxa"/>
            <w:tcBorders/>
          </w:tcPr>
          <w:p>
            <w:pPr>
              <w:pStyle w:val="Normal"/>
              <w:bidi w:val="0"/>
              <w:spacing w:before="0" w:after="0"/>
              <w:jc w:val="center"/>
              <w:rPr/>
            </w:pPr>
            <w:r>
              <w:rPr>
                <w:b/>
                <w:bCs/>
                <w:color w:val="000000"/>
                <w:sz w:val="20"/>
              </w:rPr>
              <w:t>TM. ỦY BAN NHÂN DÂN</w:t>
            </w:r>
            <w:r>
              <w:rPr>
                <w:color w:val="000000"/>
                <w:sz w:val="20"/>
              </w:rPr>
              <w:br/>
            </w:r>
            <w:r>
              <w:rPr>
                <w:b/>
                <w:bCs/>
                <w:color w:val="000000"/>
                <w:sz w:val="20"/>
              </w:rPr>
              <w:t>CHỦ TỊCH</w:t>
            </w:r>
            <w:r>
              <w:rPr>
                <w:color w:val="000000"/>
                <w:sz w:val="20"/>
              </w:rPr>
              <w:br/>
              <w:br/>
              <w:br/>
              <w:br/>
              <w:br/>
            </w:r>
            <w:r>
              <w:rPr>
                <w:b/>
                <w:bCs/>
                <w:color w:val="000000"/>
                <w:sz w:val="20"/>
              </w:rPr>
              <w:t>Nguyễn Hoài Anh</w:t>
            </w:r>
          </w:p>
        </w:tc>
      </w:tr>
    </w:tbl>
    <w:p>
      <w:pPr>
        <w:pStyle w:val="Normal"/>
        <w:bidi w:val="0"/>
        <w:spacing w:before="0" w:after="120"/>
        <w:rPr>
          <w:sz w:val="20"/>
        </w:rPr>
      </w:pPr>
      <w:r>
        <w:rPr>
          <w:sz w:val="20"/>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