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0" w:after="0"/>
              <w:jc w:val="center"/>
              <w:rPr/>
            </w:pPr>
            <w:r>
              <w:rPr>
                <w:b/>
                <w:bCs/>
              </w:rPr>
              <w:t>TÒA ÁN NHÂN DÂN TỐI CAO</w:t>
            </w:r>
            <w:r>
              <w:rPr/>
              <w:br/>
            </w:r>
            <w:r>
              <w:rPr>
                <w:b/>
                <w:bCs/>
              </w:rPr>
              <w:t>------</w:t>
            </w:r>
          </w:p>
        </w:tc>
        <w:tc>
          <w:tcPr>
            <w:tcW w:w="6085"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04/2026/TT-TANDTC</w:t>
            </w:r>
          </w:p>
        </w:tc>
        <w:tc>
          <w:tcPr>
            <w:tcW w:w="6085"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SỬA ĐỔI, BỔ SUNG MỘT SỐ ĐIỀU CỦA THÔNG TƯ SỐ 03/2025/TT-TANDTC NGÀY 30/6/2025 CỦA CHÁNH ÁN TÒA ÁN NHÂN DÂN TỐI CAO THÀNH LẬP CÁC TÒA PHÚC THẨM, CỤC, VỤ VÀ TƯƠNG ĐƯƠNG, CƠ QUAN BÁO CHÍ CỦA TÒA ÁN NHÂN DÂN TỐI CAO; QUY ĐỊNH CHỨC NĂNG, NHIỆM VỤ, QUYỀN HẠN,TỔ CHỨC BỘ MÁY CỦA CÁC ĐƠN VỊ THUỘC TÒA ÁN NHÂN DÂN TỐI CAO</w:t>
      </w:r>
      <w:bookmarkEnd w:id="1"/>
    </w:p>
    <w:p>
      <w:pPr>
        <w:pStyle w:val="Normal"/>
        <w:bidi w:val="0"/>
        <w:spacing w:before="120" w:after="280"/>
        <w:rPr>
          <w:i/>
          <w:iCs/>
        </w:rPr>
      </w:pPr>
      <w:r>
        <w:rPr>
          <w:i/>
          <w:iCs/>
        </w:rPr>
        <w:t>Căn cứ Luật Tổ chức Tòa án nhân dân số 34/2024/QH15 đã được sửa đổi, bổ sung một số điều theo Luật số 81/2025/QH15, Luật số 142/2025/QH15 và Luật số 150/2025/QH15;</w:t>
      </w:r>
    </w:p>
    <w:p>
      <w:pPr>
        <w:pStyle w:val="Normal"/>
        <w:bidi w:val="0"/>
        <w:spacing w:before="120" w:after="280"/>
        <w:rPr>
          <w:i/>
          <w:iCs/>
        </w:rPr>
      </w:pPr>
      <w:r>
        <w:rPr>
          <w:i/>
          <w:iCs/>
        </w:rPr>
        <w:t>Căn cứ Luật Ban hành văn bản quy phạm pháp luật số 64/2025/QH15 đã được sửa đổi, bổ sung một số điều theo Luật số 87/2025/QH15;</w:t>
      </w:r>
    </w:p>
    <w:p>
      <w:pPr>
        <w:pStyle w:val="Normal"/>
        <w:bidi w:val="0"/>
        <w:spacing w:before="120" w:after="280"/>
        <w:rPr>
          <w:i/>
          <w:iCs/>
        </w:rPr>
      </w:pPr>
      <w:r>
        <w:rPr>
          <w:i/>
          <w:iCs/>
        </w:rPr>
        <w:t>Theo đề nghị của Vụ trưởng Vụ Tổ chức - Cán bộ Tòa án nhân dân tối cao;</w:t>
      </w:r>
    </w:p>
    <w:p>
      <w:pPr>
        <w:pStyle w:val="Normal"/>
        <w:bidi w:val="0"/>
        <w:spacing w:before="120" w:after="280"/>
        <w:rPr>
          <w:i/>
          <w:iCs/>
        </w:rPr>
      </w:pPr>
      <w:r>
        <w:rPr>
          <w:i/>
          <w:iCs/>
        </w:rPr>
        <w:t>Chánh án Tòa án nhân dân tối cao ban hành Thông tư sửa đổi, bổ sung một số điều của Thông tư số 03/2025/TT-TANDTC ngày 30/6/2025 của Chánh án Tòa án nhân dân tối cao thành lập các Tòa Phúc thẩm, cục, vụ và tương đương, cơ quan báo chí của Tòa án nhân dân tối cao; quy định chức năng, nhiệm vụ, quyền hạn, tổ chức bộ máy của các đơn vị thuộc Tòa án nhân dân tối cao.</w:t>
      </w:r>
    </w:p>
    <w:p>
      <w:pPr>
        <w:pStyle w:val="Normal"/>
        <w:bidi w:val="0"/>
        <w:spacing w:before="120" w:after="280"/>
        <w:rPr>
          <w:b/>
          <w:bCs/>
        </w:rPr>
      </w:pPr>
      <w:bookmarkStart w:id="2" w:name="dieu_1"/>
      <w:r>
        <w:rPr>
          <w:b/>
          <w:bCs/>
        </w:rPr>
        <w:t>Điều 1. Sửa đổi, bổ sung một số điều của Thông tư số 03/2025/TT-TANDTC ngày 30/6/2025 của Chánh án Tòa án nhân dân tối cao thành lập các Tòa Phúc thẩm, cục, vụ và tương đương, cơ quan báo chí của Tòa án nhân dân tối cao; quy định chức năng, nhiệm vụ, quyền hạn, tổ chức bộ máy của các đơn vị thuộc Tòa án nhân dân tối cao</w:t>
      </w:r>
      <w:bookmarkEnd w:id="2"/>
    </w:p>
    <w:p>
      <w:pPr>
        <w:pStyle w:val="Normal"/>
        <w:bidi w:val="0"/>
        <w:spacing w:before="120" w:after="280"/>
        <w:rPr/>
      </w:pPr>
      <w:bookmarkStart w:id="3" w:name="khoan_1_1"/>
      <w:r>
        <w:rPr/>
        <w:t>1. Sửa đổi, bổ sung</w:t>
      </w:r>
      <w:bookmarkEnd w:id="3"/>
      <w:r>
        <w:rPr/>
        <w:t xml:space="preserve"> </w:t>
      </w:r>
      <w:bookmarkStart w:id="4" w:name="dc_1"/>
      <w:r>
        <w:rPr/>
        <w:t>khoản 4 Điều 6</w:t>
      </w:r>
      <w:bookmarkEnd w:id="4"/>
      <w:r>
        <w:rPr/>
        <w:t xml:space="preserve"> </w:t>
      </w:r>
      <w:bookmarkStart w:id="5" w:name="khoan_1_1_name"/>
      <w:r>
        <w:rPr/>
        <w:t>như sau:</w:t>
      </w:r>
      <w:bookmarkEnd w:id="5"/>
    </w:p>
    <w:p>
      <w:pPr>
        <w:pStyle w:val="Normal"/>
        <w:bidi w:val="0"/>
        <w:spacing w:before="120" w:after="280"/>
        <w:rPr/>
      </w:pPr>
      <w:r>
        <w:rPr/>
        <w:t>“</w:t>
      </w:r>
      <w:r>
        <w:rPr/>
        <w:t>4. Cơ cấu tổ chức.</w:t>
      </w:r>
    </w:p>
    <w:p>
      <w:pPr>
        <w:pStyle w:val="Normal"/>
        <w:bidi w:val="0"/>
        <w:spacing w:before="120" w:after="280"/>
        <w:rPr/>
      </w:pPr>
      <w:r>
        <w:rPr/>
        <w:t>a) Phòng Tham mưu tổng hợp;</w:t>
      </w:r>
    </w:p>
    <w:p>
      <w:pPr>
        <w:pStyle w:val="Normal"/>
        <w:bidi w:val="0"/>
        <w:spacing w:before="120" w:after="280"/>
        <w:rPr/>
      </w:pPr>
      <w:r>
        <w:rPr/>
        <w:t>b) Phòng Tiếp công dân và Xử lý đơn tư pháp;</w:t>
      </w:r>
    </w:p>
    <w:p>
      <w:pPr>
        <w:pStyle w:val="Normal"/>
        <w:bidi w:val="0"/>
        <w:spacing w:before="120" w:after="280"/>
        <w:rPr/>
      </w:pPr>
      <w:r>
        <w:rPr/>
        <w:t>c) Phòng Thi đua - Khen thưởng;</w:t>
      </w:r>
    </w:p>
    <w:p>
      <w:pPr>
        <w:pStyle w:val="Normal"/>
        <w:bidi w:val="0"/>
        <w:spacing w:before="120" w:after="280"/>
        <w:rPr/>
      </w:pPr>
      <w:r>
        <w:rPr/>
        <w:t>d) Phòng Văn thư - Lưu trữ;</w:t>
      </w:r>
    </w:p>
    <w:p>
      <w:pPr>
        <w:pStyle w:val="Normal"/>
        <w:bidi w:val="0"/>
        <w:spacing w:before="120" w:after="280"/>
        <w:rPr/>
      </w:pPr>
      <w:r>
        <w:rPr/>
        <w:t>đ) Phòng Tài vụ;</w:t>
      </w:r>
    </w:p>
    <w:p>
      <w:pPr>
        <w:pStyle w:val="Normal"/>
        <w:bidi w:val="0"/>
        <w:spacing w:before="120" w:after="280"/>
        <w:rPr/>
      </w:pPr>
      <w:r>
        <w:rPr/>
        <w:t>e) Phòng Quản trị;</w:t>
      </w:r>
    </w:p>
    <w:p>
      <w:pPr>
        <w:pStyle w:val="Normal"/>
        <w:bidi w:val="0"/>
        <w:spacing w:before="120" w:after="280"/>
        <w:rPr/>
      </w:pPr>
      <w:r>
        <w:rPr/>
        <w:t>g) Phòng Tiếp công dân và Xử lý đơn khu vực phía Nam;</w:t>
      </w:r>
    </w:p>
    <w:p>
      <w:pPr>
        <w:pStyle w:val="Normal"/>
        <w:bidi w:val="0"/>
        <w:spacing w:before="120" w:after="280"/>
        <w:rPr/>
      </w:pPr>
      <w:r>
        <w:rPr/>
        <w:t>h) Phòng Hành chính, quản trị khu vực phía Nam.”.</w:t>
      </w:r>
    </w:p>
    <w:p>
      <w:pPr>
        <w:pStyle w:val="Normal"/>
        <w:bidi w:val="0"/>
        <w:spacing w:before="120" w:after="280"/>
        <w:rPr/>
      </w:pPr>
      <w:bookmarkStart w:id="6" w:name="khoan_2_1"/>
      <w:r>
        <w:rPr/>
        <w:t>2. Sửa đổi, bổ sung</w:t>
      </w:r>
      <w:bookmarkEnd w:id="6"/>
      <w:r>
        <w:rPr/>
        <w:t xml:space="preserve"> </w:t>
      </w:r>
      <w:bookmarkStart w:id="7" w:name="dc_2"/>
      <w:r>
        <w:rPr/>
        <w:t>khoản 4 Điều 8</w:t>
      </w:r>
      <w:bookmarkEnd w:id="7"/>
      <w:r>
        <w:rPr/>
        <w:t xml:space="preserve"> </w:t>
      </w:r>
      <w:bookmarkStart w:id="8" w:name="khoan_2_1_name"/>
      <w:r>
        <w:rPr/>
        <w:t>như sau:</w:t>
      </w:r>
      <w:bookmarkEnd w:id="8"/>
    </w:p>
    <w:p>
      <w:pPr>
        <w:pStyle w:val="Normal"/>
        <w:bidi w:val="0"/>
        <w:spacing w:before="120" w:after="280"/>
        <w:rPr/>
      </w:pPr>
      <w:r>
        <w:rPr/>
        <w:t>“</w:t>
      </w:r>
      <w:r>
        <w:rPr/>
        <w:t>4. Cơ cấu tổ chức.</w:t>
      </w:r>
    </w:p>
    <w:p>
      <w:pPr>
        <w:pStyle w:val="Normal"/>
        <w:bidi w:val="0"/>
        <w:spacing w:before="120" w:after="280"/>
        <w:rPr/>
      </w:pPr>
      <w:r>
        <w:rPr/>
        <w:t>a) Văn phòng Cục;</w:t>
      </w:r>
    </w:p>
    <w:p>
      <w:pPr>
        <w:pStyle w:val="Normal"/>
        <w:bidi w:val="0"/>
        <w:spacing w:before="120" w:after="280"/>
        <w:rPr/>
      </w:pPr>
      <w:r>
        <w:rPr/>
        <w:t>b) Phòng Hạ tầng và An toàn thông tin;</w:t>
      </w:r>
    </w:p>
    <w:p>
      <w:pPr>
        <w:pStyle w:val="Normal"/>
        <w:bidi w:val="0"/>
        <w:spacing w:before="120" w:after="280"/>
        <w:rPr/>
      </w:pPr>
      <w:r>
        <w:rPr/>
        <w:t>c) Phòng Dữ liệu và Nền tảng số;</w:t>
      </w:r>
    </w:p>
    <w:p>
      <w:pPr>
        <w:pStyle w:val="Normal"/>
        <w:bidi w:val="0"/>
        <w:spacing w:before="120" w:after="280"/>
        <w:rPr/>
      </w:pPr>
      <w:r>
        <w:rPr/>
        <w:t>d) Phòng Giám sát, điều hành và Thông tin số.”</w:t>
      </w:r>
    </w:p>
    <w:p>
      <w:pPr>
        <w:pStyle w:val="Normal"/>
        <w:bidi w:val="0"/>
        <w:spacing w:before="120" w:after="280"/>
        <w:rPr/>
      </w:pPr>
      <w:bookmarkStart w:id="9" w:name="khoan_3_1"/>
      <w:r>
        <w:rPr/>
        <w:t>3. Sửa đổi, bổ sung</w:t>
      </w:r>
      <w:bookmarkEnd w:id="9"/>
      <w:r>
        <w:rPr/>
        <w:t xml:space="preserve"> </w:t>
      </w:r>
      <w:bookmarkStart w:id="10" w:name="dc_3"/>
      <w:r>
        <w:rPr/>
        <w:t>khoản 3 Điều 14</w:t>
      </w:r>
      <w:bookmarkEnd w:id="10"/>
      <w:r>
        <w:rPr/>
        <w:t xml:space="preserve"> </w:t>
      </w:r>
      <w:bookmarkStart w:id="11" w:name="khoan_3_1_name"/>
      <w:r>
        <w:rPr/>
        <w:t>như sau:</w:t>
      </w:r>
      <w:bookmarkEnd w:id="11"/>
    </w:p>
    <w:p>
      <w:pPr>
        <w:pStyle w:val="Normal"/>
        <w:bidi w:val="0"/>
        <w:spacing w:before="120" w:after="280"/>
        <w:rPr/>
      </w:pPr>
      <w:r>
        <w:rPr/>
        <w:t>“</w:t>
      </w:r>
      <w:r>
        <w:rPr/>
        <w:t>3. Cơ cấu tổ chức.</w:t>
      </w:r>
    </w:p>
    <w:p>
      <w:pPr>
        <w:pStyle w:val="Normal"/>
        <w:bidi w:val="0"/>
        <w:spacing w:before="120" w:after="280"/>
        <w:rPr/>
      </w:pPr>
      <w:r>
        <w:rPr/>
        <w:t>a) Phòng Tổng hợp;</w:t>
      </w:r>
    </w:p>
    <w:p>
      <w:pPr>
        <w:pStyle w:val="Normal"/>
        <w:bidi w:val="0"/>
        <w:spacing w:before="120" w:after="280"/>
        <w:rPr/>
      </w:pPr>
      <w:r>
        <w:rPr/>
        <w:t>b) Phòng Đào tạo, bồi dưỡng;</w:t>
      </w:r>
    </w:p>
    <w:p>
      <w:pPr>
        <w:pStyle w:val="Normal"/>
        <w:bidi w:val="0"/>
        <w:spacing w:before="120" w:after="280"/>
        <w:rPr/>
      </w:pPr>
      <w:r>
        <w:rPr/>
        <w:t>c) Phòng Quản lý Cán bộ.”.</w:t>
      </w:r>
    </w:p>
    <w:p>
      <w:pPr>
        <w:pStyle w:val="Normal"/>
        <w:bidi w:val="0"/>
        <w:spacing w:before="120" w:after="280"/>
        <w:rPr/>
      </w:pPr>
      <w:bookmarkStart w:id="12" w:name="khoan_4_1"/>
      <w:r>
        <w:rPr/>
        <w:t>4. Sửa đổi, bổ sung</w:t>
      </w:r>
      <w:bookmarkEnd w:id="12"/>
      <w:r>
        <w:rPr/>
        <w:t xml:space="preserve"> </w:t>
      </w:r>
      <w:bookmarkStart w:id="13" w:name="dc_4"/>
      <w:r>
        <w:rPr/>
        <w:t>khoản 3 Điều 16</w:t>
      </w:r>
      <w:bookmarkEnd w:id="13"/>
      <w:r>
        <w:rPr/>
        <w:t xml:space="preserve"> </w:t>
      </w:r>
      <w:bookmarkStart w:id="14" w:name="khoan_4_1_name"/>
      <w:r>
        <w:rPr/>
        <w:t>như sau:</w:t>
      </w:r>
      <w:bookmarkEnd w:id="14"/>
    </w:p>
    <w:p>
      <w:pPr>
        <w:pStyle w:val="Normal"/>
        <w:bidi w:val="0"/>
        <w:spacing w:before="120" w:after="280"/>
        <w:rPr/>
      </w:pPr>
      <w:r>
        <w:rPr/>
        <w:t>“</w:t>
      </w:r>
      <w:r>
        <w:rPr/>
        <w:t>3. Cơ cấu tổ chức.</w:t>
      </w:r>
    </w:p>
    <w:p>
      <w:pPr>
        <w:pStyle w:val="Normal"/>
        <w:bidi w:val="0"/>
        <w:spacing w:before="120" w:after="280"/>
        <w:rPr/>
      </w:pPr>
      <w:r>
        <w:rPr/>
        <w:t>a) Phòng Thanh tra giải quyết khiếu nại, tố cáo;</w:t>
      </w:r>
    </w:p>
    <w:p>
      <w:pPr>
        <w:pStyle w:val="Normal"/>
        <w:bidi w:val="0"/>
        <w:spacing w:before="120" w:after="280"/>
        <w:rPr/>
      </w:pPr>
      <w:r>
        <w:rPr/>
        <w:t>b) Phòng Thanh tra, kiểm tra nghiệp vụ và phòng, chống tham nhũng, lãng phí, tiêu cực.”.</w:t>
      </w:r>
    </w:p>
    <w:p>
      <w:pPr>
        <w:pStyle w:val="Normal"/>
        <w:bidi w:val="0"/>
        <w:spacing w:before="120" w:after="280"/>
        <w:rPr/>
      </w:pPr>
      <w:bookmarkStart w:id="15" w:name="khoan_5_1"/>
      <w:r>
        <w:rPr/>
        <w:t>5. Sửa đổi, bổ sung</w:t>
      </w:r>
      <w:bookmarkEnd w:id="15"/>
      <w:r>
        <w:rPr/>
        <w:t xml:space="preserve"> </w:t>
      </w:r>
      <w:bookmarkStart w:id="16" w:name="dc_5"/>
      <w:r>
        <w:rPr/>
        <w:t>điểm b khoản 3 Điều 19</w:t>
      </w:r>
      <w:bookmarkEnd w:id="16"/>
      <w:r>
        <w:rPr/>
        <w:t xml:space="preserve"> </w:t>
      </w:r>
      <w:bookmarkStart w:id="17" w:name="khoan_5_1_name"/>
      <w:r>
        <w:rPr/>
        <w:t>như sau:</w:t>
      </w:r>
      <w:bookmarkEnd w:id="17"/>
    </w:p>
    <w:p>
      <w:pPr>
        <w:pStyle w:val="Normal"/>
        <w:bidi w:val="0"/>
        <w:spacing w:before="120" w:after="280"/>
        <w:rPr/>
      </w:pPr>
      <w:r>
        <w:rPr/>
        <w:t>“</w:t>
      </w:r>
      <w:r>
        <w:rPr/>
        <w:t>b) Các đơn vị thuộc Học viện Tòa án gồm: Khoa Đào tạo, bồi dưỡng công chức, viên chức Tòa án; Khoa Đại học; Phòng Quản lý đào tạo; Phòng Đảm bảo chất lượng đào tạo; Phòng Tổ chức, hành chính; Phòng Khoa học, thông tin và thư viện; Phòng Kế hoạch - Tài chính; Phân viện tại Thành phố Hồ Chí Minh.”.</w:t>
      </w:r>
    </w:p>
    <w:p>
      <w:pPr>
        <w:pStyle w:val="Normal"/>
        <w:bidi w:val="0"/>
        <w:spacing w:before="120" w:after="280"/>
        <w:rPr>
          <w:b/>
          <w:bCs/>
        </w:rPr>
      </w:pPr>
      <w:bookmarkStart w:id="18" w:name="dieu_2"/>
      <w:r>
        <w:rPr>
          <w:b/>
          <w:bCs/>
        </w:rPr>
        <w:t>Điều 2. Hiệu lực thi hành</w:t>
      </w:r>
      <w:bookmarkEnd w:id="18"/>
    </w:p>
    <w:p>
      <w:pPr>
        <w:pStyle w:val="Normal"/>
        <w:bidi w:val="0"/>
        <w:spacing w:before="120" w:after="280"/>
        <w:rPr/>
      </w:pPr>
      <w:r>
        <w:rPr/>
        <w:t>Thông tư này có hiệu lực thi hành từ ngày 10 tháng 3 năm 2026.</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4986"/>
        <w:gridCol w:w="4986"/>
      </w:tblGrid>
      <w:tr>
        <w:trPr/>
        <w:tc>
          <w:tcPr>
            <w:tcW w:w="4986" w:type="dxa"/>
            <w:tcBorders/>
          </w:tcPr>
          <w:p>
            <w:pPr>
              <w:pStyle w:val="Normal"/>
              <w:bidi w:val="0"/>
              <w:spacing w:before="120" w:after="0"/>
              <w:rPr/>
            </w:pPr>
            <w:r>
              <w:rPr>
                <w:b/>
                <w:bCs/>
                <w:i/>
                <w:iCs/>
              </w:rPr>
              <w:br/>
              <w:t>Nơi nhận:</w:t>
            </w:r>
            <w:r>
              <w:rPr/>
              <w:br/>
            </w:r>
            <w:r>
              <w:rPr>
                <w:sz w:val="16"/>
              </w:rPr>
              <w:t>- Ủy ban Thường vụ Quốc hội;</w:t>
              <w:br/>
              <w:t>- Ủy ban Pháp luật và Tư pháp của Quốc hội;</w:t>
              <w:br/>
              <w:t>- Ban Chỉ đạo CCTP Trung ương;</w:t>
              <w:br/>
              <w:t>- Ban Nội chính Trung ương;</w:t>
              <w:br/>
              <w:t>- Văn phòng Trung ương Đảng;</w:t>
              <w:br/>
              <w:t>- Văn phòng Chủ tịch nước;</w:t>
              <w:br/>
              <w:t>- Văn phòng Chính phủ;</w:t>
              <w:br/>
              <w:t>- Viện Kiểm sát nhân dân tối cao;</w:t>
              <w:br/>
              <w:t>- Bộ Tư pháp;</w:t>
              <w:br/>
              <w:t>- Bộ Nội vụ;</w:t>
              <w:br/>
              <w:t>- Thành viên HĐTP TANDTC;</w:t>
              <w:br/>
              <w:t>- Các đơn vị thuộc TANDTC;</w:t>
              <w:br/>
              <w:t>- TAND và TAQS các cấp;</w:t>
              <w:br/>
              <w:t>- Công báo; Cổng TTĐT Chính phủ;</w:t>
              <w:br/>
              <w:t>- Cổng TTĐT TANDTC (để đăng tải);</w:t>
              <w:br/>
              <w:t>- Lưu: VT, Vụ TCCB.</w:t>
            </w:r>
          </w:p>
        </w:tc>
        <w:tc>
          <w:tcPr>
            <w:tcW w:w="4986" w:type="dxa"/>
            <w:tcBorders/>
          </w:tcPr>
          <w:p>
            <w:pPr>
              <w:pStyle w:val="Normal"/>
              <w:bidi w:val="0"/>
              <w:spacing w:before="120" w:after="0"/>
              <w:jc w:val="center"/>
              <w:rPr/>
            </w:pPr>
            <w:r>
              <w:rPr>
                <w:b/>
                <w:bCs/>
              </w:rPr>
              <w:t>CHÁNH ÁN</w:t>
            </w:r>
            <w:r>
              <w:rPr/>
              <w:br/>
              <w:br/>
              <w:br/>
              <w:br/>
              <w:br/>
            </w:r>
            <w:r>
              <w:rPr>
                <w:b/>
                <w:bCs/>
              </w:rPr>
              <w:t>Nguyễn Văn Quảng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