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52"/>
        <w:gridCol w:w="6120"/>
      </w:tblGrid>
      <w:tr>
        <w:trPr/>
        <w:tc>
          <w:tcPr>
            <w:tcW w:w="3852" w:type="dxa"/>
            <w:tcBorders/>
          </w:tcPr>
          <w:p>
            <w:pPr>
              <w:pStyle w:val="Normal"/>
              <w:bidi w:val="0"/>
              <w:spacing w:before="120" w:after="0"/>
              <w:jc w:val="center"/>
              <w:rPr/>
            </w:pPr>
            <w:r>
              <w:rPr/>
              <w:t>BỘ TÀI CHÍNH</w:t>
              <w:br/>
            </w:r>
            <w:r>
              <w:rPr>
                <w:b/>
                <w:bCs/>
              </w:rPr>
              <w:t>CỤC THUẾ</w:t>
            </w:r>
            <w:r>
              <w:rPr/>
              <w:br/>
            </w:r>
            <w:r>
              <w:rPr>
                <w:b/>
                <w:bCs/>
              </w:rPr>
              <w:t>-------</w:t>
            </w:r>
          </w:p>
        </w:tc>
        <w:tc>
          <w:tcPr>
            <w:tcW w:w="6120"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52" w:type="dxa"/>
            <w:tcBorders/>
          </w:tcPr>
          <w:p>
            <w:pPr>
              <w:pStyle w:val="Normal"/>
              <w:bidi w:val="0"/>
              <w:spacing w:before="120" w:after="0"/>
              <w:jc w:val="center"/>
              <w:rPr/>
            </w:pPr>
            <w:r>
              <w:rPr/>
              <w:t>Số: 05/CĐ-CT</w:t>
            </w:r>
          </w:p>
        </w:tc>
        <w:tc>
          <w:tcPr>
            <w:tcW w:w="6120" w:type="dxa"/>
            <w:tcBorders/>
          </w:tcPr>
          <w:p>
            <w:pPr>
              <w:pStyle w:val="Normal"/>
              <w:bidi w:val="0"/>
              <w:spacing w:before="120" w:after="0"/>
              <w:jc w:val="end"/>
              <w:rPr/>
            </w:pPr>
            <w:r>
              <w:rPr>
                <w:i/>
                <w:iCs/>
              </w:rPr>
              <w:t>Hà Nội, ngày 05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CÔNG ĐIỆN</w:t>
      </w:r>
      <w:bookmarkEnd w:id="0"/>
    </w:p>
    <w:p>
      <w:pPr>
        <w:pStyle w:val="Normal"/>
        <w:bidi w:val="0"/>
        <w:spacing w:before="120" w:after="280"/>
        <w:jc w:val="center"/>
        <w:rPr/>
      </w:pPr>
      <w:r>
        <w:rPr/>
        <w:t>VỀ VIỆC TRIỂN KHAI NGHỊ ĐỊNH SỐ 68/2026/NĐ-CP NGÀY 05/3/2026 CỦA CHÍNH PHỦ QUY ĐỊNH VỀ CHÍNH SÁCH THUẾ VÀ QUẢN LÝ THUẾ ĐỐI VỚI HỘ KINH DOANH, CÁ NHÂN KINH DOANH</w:t>
      </w:r>
    </w:p>
    <w:p>
      <w:pPr>
        <w:pStyle w:val="Normal"/>
        <w:bidi w:val="0"/>
        <w:spacing w:before="120" w:after="280"/>
        <w:jc w:val="center"/>
        <w:rPr>
          <w:b/>
          <w:bCs/>
          <w:sz w:val="24"/>
        </w:rPr>
      </w:pPr>
      <w:r>
        <w:rPr>
          <w:b/>
          <w:bCs/>
          <w:sz w:val="24"/>
        </w:rPr>
        <w:t>CỤC TRƯỞNG CỤC THUẾ điện:</w:t>
      </w:r>
    </w:p>
    <w:tbl>
      <w:tblPr>
        <w:tblW w:w="5000" w:type="pct"/>
        <w:jc w:val="start"/>
        <w:tblInd w:w="0" w:type="dxa"/>
        <w:tblLayout w:type="fixed"/>
        <w:tblCellMar>
          <w:top w:w="20" w:type="dxa"/>
          <w:start w:w="20" w:type="dxa"/>
          <w:bottom w:w="20" w:type="dxa"/>
          <w:end w:w="20" w:type="dxa"/>
        </w:tblCellMar>
      </w:tblPr>
      <w:tblGrid>
        <w:gridCol w:w="2386"/>
        <w:gridCol w:w="7586"/>
      </w:tblGrid>
      <w:tr>
        <w:trPr/>
        <w:tc>
          <w:tcPr>
            <w:tcW w:w="2386" w:type="dxa"/>
            <w:tcBorders/>
          </w:tcPr>
          <w:p>
            <w:pPr>
              <w:pStyle w:val="Normal"/>
              <w:bidi w:val="0"/>
              <w:spacing w:before="120" w:after="0"/>
              <w:rPr/>
            </w:pPr>
            <w:r>
              <w:rPr/>
              <w:t> </w:t>
            </w:r>
          </w:p>
        </w:tc>
        <w:tc>
          <w:tcPr>
            <w:tcW w:w="7586" w:type="dxa"/>
            <w:tcBorders/>
          </w:tcPr>
          <w:p>
            <w:pPr>
              <w:pStyle w:val="Normal"/>
              <w:bidi w:val="0"/>
              <w:spacing w:before="120" w:after="0"/>
              <w:rPr/>
            </w:pPr>
            <w:r>
              <w:rPr/>
              <w:t>- Đồng chí Trưởng thuế tỉnh, thành phố;</w:t>
              <w:br/>
              <w:t>- Đồng chí Chi cục trưởng Chi cục Thuế Thương mại điện tử;</w:t>
              <w:br/>
              <w:t>- Đồng chí Chi cục trưởng Chi cục Thuế doanh nghiệp lớn.</w:t>
            </w:r>
          </w:p>
        </w:tc>
      </w:tr>
    </w:tbl>
    <w:p>
      <w:pPr>
        <w:pStyle w:val="Normal"/>
        <w:bidi w:val="0"/>
        <w:spacing w:before="120" w:after="280"/>
        <w:rPr/>
      </w:pPr>
      <w:r>
        <w:rPr/>
        <w:t>Ngày 05/3/2026, Chính phủ đã ban hành Nghị định số 68/2025/NĐ-CP quy định về chính sách thuế và quản lý thuế đối với hộ kinh doanh, cá nhân kinh doanh. Nghị định có hiệu lực thi hành kể từ ngày ký.</w:t>
      </w:r>
    </w:p>
    <w:p>
      <w:pPr>
        <w:pStyle w:val="Normal"/>
        <w:bidi w:val="0"/>
        <w:spacing w:before="120" w:after="280"/>
        <w:rPr/>
      </w:pPr>
      <w:r>
        <w:rPr/>
        <w:t>Để kịp thời triển khai thực hiện Nghị định số 68/2025/NĐ-CP, đề nghị các đồng chí Thủ trưởng cơ quan thuế chỉ đạo triển khai và tuyên truyền, phổ biến Nghị định tới công chức thuế, người nộp thuế và chuẩn bị các điều kiện đảm bảo thi hành. Một số nội dung cần lưu ý như sau:</w:t>
      </w:r>
    </w:p>
    <w:p>
      <w:pPr>
        <w:pStyle w:val="Normal"/>
        <w:bidi w:val="0"/>
        <w:spacing w:before="120" w:after="280"/>
        <w:rPr/>
      </w:pPr>
      <w:r>
        <w:rPr/>
        <w:t>1. Hộ kinh doanh, cá nhân kinh doanh bắt đầu hoạt động sản xuất, kinh doanh trong 06 tháng đầu năm nếu có doanh thu thực tế từ 500 triệu đồng trở xuống thì thực hiện thông báo doanh thu thực tế phát sinh kể từ khi bắt đầu hoạt động sản xuất, kinh doanh đến hết ngày 30 tháng 6 với cơ quan thuế quản lý trực tiếp chậm nhất là ngày 31 tháng 7 và thông báo doanh thu thực tế phát sinh trong 06 tháng cuối năm chậm nhất là ngày 31 tháng 01 của năm dương lịch tiếp theo.</w:t>
      </w:r>
    </w:p>
    <w:p>
      <w:pPr>
        <w:pStyle w:val="Normal"/>
        <w:bidi w:val="0"/>
        <w:spacing w:before="120" w:after="280"/>
        <w:rPr/>
      </w:pPr>
      <w:r>
        <w:rPr/>
        <w:t>Trường hợp hộ kinh doanh, cá nhân kinh doanh bắt đầu hoạt động sản xuất, kinh doanh trong 06 tháng cuối năm nếu có doanh thu thực tế từ 500 triệu đồng trở xuống thì thực hiện thông báo doanh thu thực tế phát sinh chậm nhất là ngày 31 tháng 01 của năm dương lịch tiếp theo.</w:t>
      </w:r>
    </w:p>
    <w:p>
      <w:pPr>
        <w:pStyle w:val="Normal"/>
        <w:bidi w:val="0"/>
        <w:spacing w:before="120" w:after="280"/>
        <w:rPr/>
      </w:pPr>
      <w:r>
        <w:rPr/>
        <w:t xml:space="preserve">Hộ kinh doanh, cá nhân kinh doanh mới bắt đầu hoạt động sản xuất, kinh doanh, khi có doanh thu lũy kế trên 500 triệu đồng thì thực hiện khai thuế theo quý theo quy định tại </w:t>
      </w:r>
      <w:bookmarkStart w:id="1" w:name="dc_1"/>
      <w:r>
        <w:rPr/>
        <w:t>Điều 10 Nghị định</w:t>
      </w:r>
      <w:bookmarkEnd w:id="1"/>
      <w:r>
        <w:rPr/>
        <w:t xml:space="preserve"> này kể từ quý phát sinh doanh thu trên 500 triệu đồng.</w:t>
      </w:r>
    </w:p>
    <w:p>
      <w:pPr>
        <w:pStyle w:val="Normal"/>
        <w:bidi w:val="0"/>
        <w:spacing w:before="120" w:after="280"/>
        <w:rPr/>
      </w:pPr>
      <w:r>
        <w:rPr/>
        <w:t>2. Trường hợp cá nhân trực tiếp khai thuế đối với hoạt động cho thuê bất động sản thì cá nhân được lựa chọn khai thuế hai lần trong năm tính thuế hoặc khai thuế một lần theo năm tính thuế. Trường hợp khai thuế hai lần trong năm tính thuế, thời hạn nộp hồ sơ khai thuế lần thứ nhất chậm nhất là ngày 31 tháng 7 của năm tính thuế và lần thứ hai chậm nhất là ngày 31 tháng 01 của năm dương lịch tiếp theo năm tính thuế. Trường hợp khai thuế một lần theo năm tính thuế, thời hạn nộp hồ sơ khai thuế chậm nhất là ngày 31 tháng 01 của năm dương lịch tiếp theo năm tính thuế.</w:t>
      </w:r>
    </w:p>
    <w:p>
      <w:pPr>
        <w:pStyle w:val="Normal"/>
        <w:bidi w:val="0"/>
        <w:spacing w:before="120" w:after="280"/>
        <w:rPr/>
      </w:pPr>
      <w:r>
        <w:rPr/>
        <w:t>3. Trường hợp khai thuế theo tháng thì hồ sơ khai thuế tháng 1, tháng 2, tháng 3 năm 2026 gửi cho cơ quan thuế quản lý trực tiếp chậm nhất là ngày 20 tháng 4 năm 2026.</w:t>
      </w:r>
    </w:p>
    <w:p>
      <w:pPr>
        <w:pStyle w:val="Normal"/>
        <w:bidi w:val="0"/>
        <w:spacing w:before="120" w:after="280"/>
        <w:rPr/>
      </w:pPr>
      <w:r>
        <w:rPr/>
        <w:t>4. Đối với hộ kinh doanh, cá nhân kinh doanh nộp thuế theo phương pháp khoán từ năm 2025 trở về trước và đã được xác định mức thuế khoán (bao gồm cả trường hợp hộ kinh doanh, cá nhân kinh doanh có thay đổi về quy mô sản xuất kinh doanh dẫn đến doanh thu khoán thuế thay đổi từ 50% trở lên) theo quy định của Luật Quản lý thuế số 38/2019/QH14 và các văn bản hướng dẫn thi hành, khi chuyển sang thực hiện kê khai thuế kể từ ngày 01 tháng 01 năm 2026, cơ quan thuế không sử dụng doanh thu khai thuế năm 2026 để xác định lại nghĩa vụ thuế các năm trước, không xử phạt vi phạm hành chính đối với các nghĩa vụ thuế đã thực hiện theo phương pháp khoán, trừ trường hợp cơ quan thuế, cơ quan nhà nước có thẩm quyền phát hiện hộ kinh doanh, cá nhân kinh doanh có hành vi che giấu doanh thu dẫn đến thiếu số thuế phải nộp.</w:t>
      </w:r>
    </w:p>
    <w:p>
      <w:pPr>
        <w:pStyle w:val="Normal"/>
        <w:bidi w:val="0"/>
        <w:spacing w:before="120" w:after="280"/>
        <w:rPr/>
      </w:pPr>
      <w:r>
        <w:rPr/>
        <w:t>5. Đối với hộ kinh doanh, cá nhân kinh doanh trong năm 2025 nộp thuế theo phương pháp khoán hoặc phương pháp kê khai, có mức doanh thu từ 03 tỷ đồng trở lên hoặc từ năm 2026 lựa chọn nộp thuế thu nhập cá nhân theo phương pháp thu nhập tính thuế nhân (x) thuế suất thì hộ kinh doanh, cá nhân kinh doanh thực hiện xác định, ghi nhận giá trị hàng tồn kho, máy móc, thiết bị đang phục vụ hoạt động sản xuất, kinh doanh tại thời điểm ngày 31 tháng 12 năm 2025 để làm căn cứ xác định chi phí được trừ khi tính thuế thu nhập cá nhân cho kỳ tính thuế năm 2026. Hộ kinh doanh, cá nhân kinh doanh lập Bảng kê hàng tồn kho, máy móc, thiết bị theo mẫu do Bộ trưởng Bộ Tài chính quy định, lưu giữ tại hộ kinh doanh, cá nhân kinh doanh và gửi 01 bản cho cơ quan thuế quản lý trực tiếp bằng phương thức điện tử cùng hồ sơ khai thuế quý I năm 2026 đối với trường hợp khai thuế theo quý hoặc chậm nhất là ngày 20 tháng 4 năm 2026 đối với trường hợp khai thuế theo tháng.</w:t>
      </w:r>
    </w:p>
    <w:p>
      <w:pPr>
        <w:pStyle w:val="Normal"/>
        <w:bidi w:val="0"/>
        <w:spacing w:before="120" w:after="280"/>
        <w:rPr/>
      </w:pPr>
      <w:r>
        <w:rPr/>
        <w:t>Cục Thuế thông báo để các đồng chí Trưởng thuế tỉnh, thành phố, Chi cục trưởng chủ động triển khai, thực hiện./.</w:t>
      </w:r>
    </w:p>
    <w:p>
      <w:pPr>
        <w:pStyle w:val="Normal"/>
        <w:bidi w:val="0"/>
        <w:spacing w:before="120" w:after="280"/>
        <w:rPr/>
      </w:pPr>
      <w:r>
        <w:rPr/>
        <w:t> </w:t>
      </w:r>
    </w:p>
    <w:tbl>
      <w:tblPr>
        <w:tblW w:w="5000" w:type="pct"/>
        <w:jc w:val="start"/>
        <w:tblInd w:w="0" w:type="dxa"/>
        <w:tblLayout w:type="fixed"/>
        <w:tblCellMar>
          <w:top w:w="20" w:type="dxa"/>
          <w:start w:w="20" w:type="dxa"/>
          <w:bottom w:w="20" w:type="dxa"/>
          <w:end w:w="20" w:type="dxa"/>
        </w:tblCellMar>
      </w:tblPr>
      <w:tblGrid>
        <w:gridCol w:w="4975"/>
        <w:gridCol w:w="4997"/>
      </w:tblGrid>
      <w:tr>
        <w:trPr/>
        <w:tc>
          <w:tcPr>
            <w:tcW w:w="4975" w:type="dxa"/>
            <w:tcBorders/>
          </w:tcPr>
          <w:p>
            <w:pPr>
              <w:pStyle w:val="Normal"/>
              <w:bidi w:val="0"/>
              <w:spacing w:before="120" w:after="0"/>
              <w:rPr/>
            </w:pPr>
            <w:r>
              <w:rPr>
                <w:b/>
                <w:bCs/>
                <w:i/>
                <w:iCs/>
              </w:rPr>
              <w:br/>
              <w:t>Nơi nhận:</w:t>
            </w:r>
            <w:r>
              <w:rPr/>
              <w:br/>
            </w:r>
            <w:r>
              <w:rPr>
                <w:sz w:val="16"/>
              </w:rPr>
              <w:t>- Như trên;</w:t>
              <w:br/>
              <w:t xml:space="preserve">- Lãnh đạo Bộ Tài chính </w:t>
            </w:r>
            <w:r>
              <w:rPr>
                <w:i/>
                <w:iCs/>
                <w:sz w:val="16"/>
              </w:rPr>
              <w:t>(để báo cáo);</w:t>
            </w:r>
            <w:r>
              <w:rPr>
                <w:sz w:val="16"/>
              </w:rPr>
              <w:br/>
              <w:t xml:space="preserve">- UBND các tỉnh, thành phố trực thuộc TW </w:t>
            </w:r>
            <w:r>
              <w:rPr>
                <w:i/>
                <w:iCs/>
                <w:sz w:val="16"/>
              </w:rPr>
              <w:t>(để phối hợp chỉ đạo thực hiện);</w:t>
            </w:r>
            <w:r>
              <w:rPr>
                <w:sz w:val="16"/>
              </w:rPr>
              <w:br/>
              <w:t xml:space="preserve">- Cục trưởng Cục Thuế </w:t>
            </w:r>
            <w:r>
              <w:rPr>
                <w:i/>
                <w:iCs/>
                <w:sz w:val="16"/>
              </w:rPr>
              <w:t>(để báo cáo);</w:t>
            </w:r>
            <w:r>
              <w:rPr>
                <w:sz w:val="16"/>
              </w:rPr>
              <w:br/>
              <w:t>- Các đ/c Phó Cục trưởng (để phối hợp chỉ đạo);</w:t>
              <w:br/>
              <w:t>- Website CT;</w:t>
              <w:br/>
              <w:t>- Lưu: VT, CS.</w:t>
            </w:r>
          </w:p>
        </w:tc>
        <w:tc>
          <w:tcPr>
            <w:tcW w:w="4997" w:type="dxa"/>
            <w:tcBorders/>
          </w:tcPr>
          <w:p>
            <w:pPr>
              <w:pStyle w:val="Normal"/>
              <w:bidi w:val="0"/>
              <w:spacing w:before="120" w:after="0"/>
              <w:jc w:val="center"/>
              <w:rPr/>
            </w:pPr>
            <w:r>
              <w:rPr>
                <w:b/>
                <w:bCs/>
              </w:rPr>
              <w:t>KT. CỤC TRƯỞNG</w:t>
            </w:r>
            <w:r>
              <w:rPr/>
              <w:br/>
            </w:r>
            <w:r>
              <w:rPr>
                <w:b/>
                <w:bCs/>
              </w:rPr>
              <w:t>PHÓ CỤC TRƯỞNG</w:t>
            </w:r>
            <w:r>
              <w:rPr/>
              <w:br/>
            </w:r>
            <w:r>
              <w:rPr>
                <w:b/>
                <w:bCs/>
              </w:rPr>
              <w:br/>
              <w:br/>
              <w:br/>
            </w:r>
            <w:r>
              <w:rPr/>
              <w:br/>
            </w:r>
            <w:r>
              <w:rPr>
                <w:b/>
                <w:bCs/>
              </w:rPr>
              <w:t>Đặng Ngọc Minh</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