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start"/>
        <w:tblInd w:w="0" w:type="dxa"/>
        <w:tblLayout w:type="fixed"/>
        <w:tblCellMar>
          <w:top w:w="0" w:type="dxa"/>
          <w:start w:w="108" w:type="dxa"/>
          <w:bottom w:w="0" w:type="dxa"/>
          <w:end w:w="108" w:type="dxa"/>
        </w:tblCellMar>
      </w:tblPr>
      <w:tblGrid>
        <w:gridCol w:w="3881"/>
        <w:gridCol w:w="6091"/>
      </w:tblGrid>
      <w:tr>
        <w:trPr/>
        <w:tc>
          <w:tcPr>
            <w:tcW w:w="3881" w:type="dxa"/>
            <w:tcBorders/>
          </w:tcPr>
          <w:p>
            <w:pPr>
              <w:pStyle w:val="Normal"/>
              <w:bidi w:val="0"/>
              <w:spacing w:before="120" w:after="0"/>
              <w:jc w:val="center"/>
              <w:rPr/>
            </w:pPr>
            <w:r>
              <w:rPr>
                <w:b/>
                <w:bCs/>
              </w:rPr>
              <w:t>BỘ CÔNG THƯƠNG</w:t>
              <w:br/>
              <w:t>-------</w:t>
            </w:r>
          </w:p>
        </w:tc>
        <w:tc>
          <w:tcPr>
            <w:tcW w:w="6091" w:type="dxa"/>
            <w:tcBorders/>
          </w:tcPr>
          <w:p>
            <w:pPr>
              <w:pStyle w:val="Normal"/>
              <w:bidi w:val="0"/>
              <w:spacing w:before="120" w:after="0"/>
              <w:jc w:val="center"/>
              <w:rPr/>
            </w:pPr>
            <w:r>
              <w:rPr>
                <w:b/>
                <w:bCs/>
              </w:rPr>
              <w:t>CỘNG HÒA XÃ HỘI CHỦ NGHĨA VIỆT NAM</w:t>
              <w:br/>
              <w:t xml:space="preserve">Độc lập - Tự do - Hạnh phúc </w:t>
              <w:br/>
              <w:t>---------------</w:t>
            </w:r>
          </w:p>
        </w:tc>
      </w:tr>
      <w:tr>
        <w:trPr/>
        <w:tc>
          <w:tcPr>
            <w:tcW w:w="3881" w:type="dxa"/>
            <w:tcBorders/>
          </w:tcPr>
          <w:p>
            <w:pPr>
              <w:pStyle w:val="Normal"/>
              <w:bidi w:val="0"/>
              <w:spacing w:before="120" w:after="0"/>
              <w:jc w:val="center"/>
              <w:rPr/>
            </w:pPr>
            <w:r>
              <w:rPr/>
              <w:t>Số: 06/CT-BCT</w:t>
            </w:r>
          </w:p>
        </w:tc>
        <w:tc>
          <w:tcPr>
            <w:tcW w:w="6091" w:type="dxa"/>
            <w:tcBorders/>
          </w:tcPr>
          <w:p>
            <w:pPr>
              <w:pStyle w:val="Normal"/>
              <w:bidi w:val="0"/>
              <w:spacing w:before="120" w:after="0"/>
              <w:jc w:val="end"/>
              <w:rPr/>
            </w:pPr>
            <w:r>
              <w:rPr>
                <w:rFonts w:eastAsia="Arial" w:cs="Arial" w:ascii="Arial" w:hAnsi="Arial"/>
                <w:i/>
                <w:iCs/>
              </w:rPr>
              <w:t>Hà Nội, ngày</w:t>
            </w:r>
            <w:r>
              <w:rPr/>
              <w:t> </w:t>
            </w:r>
            <w:r>
              <w:rPr>
                <w:rFonts w:eastAsia="Arial" w:cs="Arial" w:ascii="Arial" w:hAnsi="Arial"/>
                <w:i/>
                <w:iCs/>
              </w:rPr>
              <w:t>09 tháng 3 năm 2026</w:t>
            </w:r>
          </w:p>
        </w:tc>
      </w:tr>
    </w:tbl>
    <w:p>
      <w:pPr>
        <w:pStyle w:val="Normal"/>
        <w:bidi w:val="0"/>
        <w:spacing w:before="120" w:after="280"/>
        <w:rPr/>
      </w:pPr>
      <w:r>
        <w:rPr/>
        <w:t> </w:t>
      </w:r>
    </w:p>
    <w:p>
      <w:pPr>
        <w:pStyle w:val="Normal"/>
        <w:bidi w:val="0"/>
        <w:spacing w:before="120" w:after="280"/>
        <w:jc w:val="center"/>
        <w:rPr>
          <w:b/>
          <w:bCs/>
          <w:sz w:val="24"/>
        </w:rPr>
      </w:pPr>
      <w:bookmarkStart w:id="0" w:name="loai_1"/>
      <w:r>
        <w:rPr>
          <w:b/>
          <w:bCs/>
          <w:sz w:val="24"/>
        </w:rPr>
        <w:t>CHỈ THỊ</w:t>
      </w:r>
      <w:bookmarkEnd w:id="0"/>
    </w:p>
    <w:p>
      <w:pPr>
        <w:pStyle w:val="Normal"/>
        <w:bidi w:val="0"/>
        <w:spacing w:before="120" w:after="280"/>
        <w:jc w:val="center"/>
        <w:rPr/>
      </w:pPr>
      <w:bookmarkStart w:id="1" w:name="loai_1_name"/>
      <w:r>
        <w:rPr/>
        <w:t>VỀ VIỆC TĂNG CƯỜNG CÁC GIẢI PHÁP BẢO ĐẢM AN NINH NĂNG LƯỢNG TRƯỚC DIỄN BIẾN PHỨC TẠP CỦA CUỘC XUNG ĐỘT QUÂN SỰ TẠI TRUNG ĐÔNG</w:t>
      </w:r>
      <w:bookmarkEnd w:id="1"/>
    </w:p>
    <w:p>
      <w:pPr>
        <w:pStyle w:val="Normal"/>
        <w:bidi w:val="0"/>
        <w:spacing w:before="120" w:after="280"/>
        <w:rPr/>
      </w:pPr>
      <w:r>
        <w:rPr/>
        <w:t>Tình hình xung đột quân sự tại khu vực Trung Đông tiếp tục diễn biến phức tạp, ảnh hưởng nghiêm trọng đến chuỗi cung ứng năng lượng toàn cầu, đặc biệt là vận chuyển dầu mỏ qua khu vực eo biển Hormuz - tuyến hàng hải chiến lược của thế giới. Giá dầu thô và các sản phẩm xăng dầu trên thị trường quốc tế đã tăng mạnh; nhiều quốc gia có hạn chế/ngừng xuất khẩu nhiên liệu để bảo đảm an ninh năng lượng trong nước.</w:t>
      </w:r>
    </w:p>
    <w:p>
      <w:pPr>
        <w:pStyle w:val="Normal"/>
        <w:bidi w:val="0"/>
        <w:spacing w:before="120" w:after="280"/>
        <w:rPr/>
      </w:pPr>
      <w:r>
        <w:rPr/>
        <w:t>Theo đánh giá của Bộ Công Thương, nguồn cung xăng dầu trong nước hiện nay cơ bản vẫn được bảo đảm nhờ sản lượng của hai nhà máy lọc dầu trong nước và nguồn nhập khẩu. Tuy nhiên, trong bối cảnh biến động địa chính trị quốc tế, việc nhập khẩu dầu thô, xăng dầu sản phẩm có thể gặp nhiều khó khăn do giá tăng cao, chi phí vận chuyển và bảo hiểm gia tăng, một số quốc gia xuất khẩu có xu hướng hạn chế cung ứng. Đồng thời, tại thị trường trong nước đã xuất hiện hiện tượng một số thương nhân kinh doanh xăng dầu bán hàng cầm chừng, găm hàng chờ tăng giá, gây tâm lý lo ngại trong dư luận và tiềm ẩn nguy cơ bất ổn thị trường.</w:t>
      </w:r>
    </w:p>
    <w:p>
      <w:pPr>
        <w:pStyle w:val="Normal"/>
        <w:bidi w:val="0"/>
        <w:spacing w:before="120" w:after="280"/>
        <w:rPr/>
      </w:pPr>
      <w:r>
        <w:rPr/>
        <w:t>Thực hiện Nghị quyết số </w:t>
      </w:r>
      <w:hyperlink r:id="rId2" w:tgtFrame="_blank">
        <w:r>
          <w:rPr>
            <w:rStyle w:val="Hyperlink"/>
            <w:strike w:val="false"/>
            <w:dstrike w:val="false"/>
            <w:color w:val="0000FF"/>
            <w:u w:val="none"/>
          </w:rPr>
          <w:t>36/NQ-CP</w:t>
        </w:r>
      </w:hyperlink>
      <w:r>
        <w:rPr/>
        <w:t> ngày 06 tháng 3 năm 2026 của Chính phủ về Phiên họp Chính phủ thường kỳ tháng 02 năm 2026; để chủ động ứng phó với các biến động của thị trường năng lượng quốc tế, bảo đảm nguồn cung xăng dầu phục vụ hoạt động sản xuất kinh doanh của doanh nghiệp và nhu cầu tiêu dùng của người dân, góp phần kiểm soát lạm phát, ổn định kinh tế vĩ mô và an ninh năng lượng quốc gia, Bộ Công Thương đề nghị Ủy ban nhân dân các tỉnh, thành phố; yêu cầu Sở Công Thương các tỉnh, thành phố, các đơn vị thuộc Bộ Công Thương, các Tập đoàn, Hiệp hội Xăng dầu Việt Nam và các thương nhân đầu mối kinh doanh xăng dầu, thương nhân đầu mối sản xuất xăng dầu, thương nhân phân phối xăng dầu nghiêm túc triển khai thực hiện các nhiệm vụ và giải pháp cụ thể sau đây:</w:t>
      </w:r>
    </w:p>
    <w:p>
      <w:pPr>
        <w:pStyle w:val="Normal"/>
        <w:bidi w:val="0"/>
        <w:spacing w:before="120" w:after="280"/>
        <w:rPr/>
      </w:pPr>
      <w:bookmarkStart w:id="2" w:name="dieu_1"/>
      <w:r>
        <w:rPr>
          <w:b/>
          <w:bCs/>
        </w:rPr>
        <w:t>1.</w:t>
      </w:r>
      <w:r>
        <w:rPr/>
        <w:t> </w:t>
      </w:r>
      <w:r>
        <w:rPr>
          <w:b/>
          <w:bCs/>
        </w:rPr>
        <w:t>Ủy ban nhân dân các tỉnh, thành phố</w:t>
      </w:r>
      <w:bookmarkEnd w:id="2"/>
    </w:p>
    <w:p>
      <w:pPr>
        <w:pStyle w:val="Normal"/>
        <w:bidi w:val="0"/>
        <w:spacing w:before="120" w:after="280"/>
        <w:rPr/>
      </w:pPr>
      <w:r>
        <w:rPr/>
        <w:t>a) Chỉ đạo Sở Công Thương phối hợp với các thương nhân đầu mối, thương nhân phân phối xăng dầu trên địa bàn chủ động xây dựng phương án bảo đảm cung ứng xăng dầu trong mọi tình huống;</w:t>
      </w:r>
    </w:p>
    <w:p>
      <w:pPr>
        <w:pStyle w:val="Normal"/>
        <w:bidi w:val="0"/>
        <w:spacing w:before="120" w:after="280"/>
        <w:rPr/>
      </w:pPr>
      <w:r>
        <w:rPr/>
        <w:t>b) Tạo điều kiện thuận lợi cho các doanh nghiệp, thương nhân kinh doanh xăng dầu trong việc tạo nguồn hàng, vận chuyển, lưu thông, phân phối xăng dầu; chủ động và phối hợp với Bộ Công Thương tăng cường công tác thanh tra, kiểm tra, giám sát hoạt động kinh doanh xăng dầu và bảo đảm an ninh trật tự trên địa bàn theo quy định; kịp thời phát hiện và xử lý nghiêm theo quy định các hành vi đầu cơ, găm hàng, buôn lậu xăng dầu qua biên giới, vi phạm quy định về kinh doanh xăng dầu; không để xảy ra tình trạng cửa hàng bán lẻ xăng dầu dừng bán hàng không có lý do, gây thiếu hụt, đứt gãy nguồn cung xăng dầu cục bộ;</w:t>
      </w:r>
    </w:p>
    <w:p>
      <w:pPr>
        <w:pStyle w:val="Normal"/>
        <w:bidi w:val="0"/>
        <w:spacing w:before="120" w:after="280"/>
        <w:rPr/>
      </w:pPr>
      <w:r>
        <w:rPr/>
        <w:t>c) Chỉ đạo các cơ quan thông tin, truyền thông tại địa phương tăng cường công tác tuyên truyền, cung cấp thông tin chính xác, kịp thời về tình hình cung ứng xăng dầu và các chủ trương, giải pháp điều hành của Chính phủ, Bộ Công Thương nhằm ổn định tâm lý thị trường, tránh gây tâm lý hoang mang trong dư luận.</w:t>
      </w:r>
    </w:p>
    <w:p>
      <w:pPr>
        <w:pStyle w:val="Normal"/>
        <w:bidi w:val="0"/>
        <w:spacing w:before="120" w:after="280"/>
        <w:rPr/>
      </w:pPr>
      <w:bookmarkStart w:id="3" w:name="dieu_2"/>
      <w:r>
        <w:rPr>
          <w:b/>
          <w:bCs/>
        </w:rPr>
        <w:t>2.</w:t>
      </w:r>
      <w:r>
        <w:rPr/>
        <w:t> </w:t>
      </w:r>
      <w:r>
        <w:rPr>
          <w:b/>
          <w:bCs/>
        </w:rPr>
        <w:t>Sở Công Thương các tỉnh, thành phố</w:t>
      </w:r>
      <w:bookmarkEnd w:id="3"/>
    </w:p>
    <w:p>
      <w:pPr>
        <w:pStyle w:val="Normal"/>
        <w:bidi w:val="0"/>
        <w:spacing w:before="120" w:after="280"/>
        <w:rPr/>
      </w:pPr>
      <w:r>
        <w:rPr/>
        <w:t>a) Tăng cường theo dõi sát diễn biến cung cầu xăng dầu trên địa bàn; giám sát hoạt động kinh doanh xăng dầu tại địa phương, bảo đảm các thương nhân tuân thủ đúng các quy định của pháp luật hiện hành; giám sát chất lượng xăng dầu, thời gian bán hàng, giá bán lẻ xăng dầu của các cửa hàng bán lẻ xăng dầu trên địa bàn; không để xảy ra tình trạng cửa hàng xăng dầu dừng bán hàng không có lý do, gây thiếu hụt, đứt gãy nguồn cung xăng dầu cục bộ trên địa bàn;</w:t>
      </w:r>
    </w:p>
    <w:p>
      <w:pPr>
        <w:pStyle w:val="Normal"/>
        <w:bidi w:val="0"/>
        <w:spacing w:before="120" w:after="280"/>
        <w:rPr/>
      </w:pPr>
      <w:r>
        <w:rPr/>
        <w:t>b) Chỉ đạo lực lượng Quản lý thị trường địa phương tăng cường giám sát, kiểm tra việc duy trì bán hàng và thực hiện các quy định của pháp luật về kinh doanh xăng dầu, kiểm tra chất lượng, đo lường, giá bán xăng dầu lưu thông trên thị trường;</w:t>
      </w:r>
    </w:p>
    <w:p>
      <w:pPr>
        <w:pStyle w:val="Normal"/>
        <w:bidi w:val="0"/>
        <w:spacing w:before="120" w:after="280"/>
        <w:rPr/>
      </w:pPr>
      <w:r>
        <w:rPr/>
        <w:t>c) Báo cáo kịp thời diễn biến tình hình thị trường xăng dầu tại địa phương về Bộ Công Thương để phục vụ công tác báo cáo, điều hành bảo đảm nguồn cung xăng dầu.</w:t>
      </w:r>
    </w:p>
    <w:p>
      <w:pPr>
        <w:pStyle w:val="Normal"/>
        <w:bidi w:val="0"/>
        <w:spacing w:before="120" w:after="280"/>
        <w:rPr/>
      </w:pPr>
      <w:bookmarkStart w:id="4" w:name="dieu_3"/>
      <w:r>
        <w:rPr>
          <w:b/>
          <w:bCs/>
        </w:rPr>
        <w:t>3.</w:t>
      </w:r>
      <w:r>
        <w:rPr/>
        <w:t> </w:t>
      </w:r>
      <w:r>
        <w:rPr>
          <w:b/>
          <w:bCs/>
        </w:rPr>
        <w:t>Các Tập đoàn</w:t>
      </w:r>
      <w:bookmarkEnd w:id="4"/>
    </w:p>
    <w:p>
      <w:pPr>
        <w:pStyle w:val="Normal"/>
        <w:bidi w:val="0"/>
        <w:spacing w:before="120" w:after="280"/>
        <w:rPr/>
      </w:pPr>
      <w:r>
        <w:rPr>
          <w:b/>
          <w:bCs/>
        </w:rPr>
        <w:t>3.1</w:t>
      </w:r>
      <w:r>
        <w:rPr/>
        <w:t> </w:t>
      </w:r>
      <w:r>
        <w:rPr>
          <w:b/>
          <w:bCs/>
        </w:rPr>
        <w:t>Tập đoàn Công nghiệp - Năng lượng Quốc gia Việt Nam</w:t>
      </w:r>
    </w:p>
    <w:p>
      <w:pPr>
        <w:pStyle w:val="Normal"/>
        <w:bidi w:val="0"/>
        <w:spacing w:before="120" w:after="280"/>
        <w:rPr/>
      </w:pPr>
      <w:r>
        <w:rPr/>
        <w:t>a) Chỉ đạo các đơn vị thành viên trong lĩnh vực thăm dò, khai thác, chế biến dầu khí và sản xuất nhiên liệu duy trì hoạt động ổn định, an toàn và liên tục của các cơ sở sản xuất, đơn vị kinh doanh, phân phối, đặc biệt là các nhà máy lọc dầu, đồng thời áp dụng các giải pháp công nghệ, quản trị để nâng cao công suất, sản lượng trong điều kiện kỹ thuật cho phép, nỗ lực bảo đảm nguồn cung xăng dầu theo kế hoạch đã đăng ký với cơ quan quản lý nhà nước và hỗ trợ tăng thêm nguồn cùng cho thị trường trong nước; Tổ chức thực hiện khẩn trương các giải pháp Chính phủ đã cho phép tại Nghị quyết 36 nhằm đa dạng hóa nguồn cung dầu thô cho các nhà máy lọc dầu duy trì hoạt động ở công suất tối ưu;</w:t>
      </w:r>
    </w:p>
    <w:p>
      <w:pPr>
        <w:pStyle w:val="Normal"/>
        <w:bidi w:val="0"/>
        <w:spacing w:before="120" w:after="280"/>
        <w:rPr/>
      </w:pPr>
      <w:r>
        <w:rPr/>
        <w:t>b) Chỉ đạo rà soát, tối ưu hóa công suất vận hành các nhà máy lọc dầu, cơ cấu sản phẩm, nâng cao sản lượng chế biến trong điều kiện kỹ thuật cho phép nhằm góp phần tăng nguồn cung xăng dầu trong nước trong trường hợp thị trường thế giới có biến động bất thường; Chỉ đạo các công ty con ưu tiên đảm bảo nguồn cung nhiên liệu (dầu điêzen) cho sản xuất than;</w:t>
      </w:r>
    </w:p>
    <w:p>
      <w:pPr>
        <w:pStyle w:val="Normal"/>
        <w:bidi w:val="0"/>
        <w:spacing w:before="120" w:after="280"/>
        <w:rPr/>
      </w:pPr>
      <w:r>
        <w:rPr/>
        <w:t>c) Tăng cường công tác dự báo, theo dõi sát diễn biến thị trường dầu thô và sản phẩm dầu trên thế giới; chủ động xây dựng các kịch bản ứng phó với biến động nguồn cung năng lượng toàn cầu, kịp thời báo cáo Bộ Công Thương để phục vụ công tác điều hành.</w:t>
      </w:r>
    </w:p>
    <w:p>
      <w:pPr>
        <w:pStyle w:val="Normal"/>
        <w:bidi w:val="0"/>
        <w:spacing w:before="120" w:after="280"/>
        <w:rPr/>
      </w:pPr>
      <w:r>
        <w:rPr>
          <w:b/>
          <w:bCs/>
        </w:rPr>
        <w:t>3.2</w:t>
      </w:r>
      <w:r>
        <w:rPr/>
        <w:t> </w:t>
      </w:r>
      <w:r>
        <w:rPr>
          <w:b/>
          <w:bCs/>
        </w:rPr>
        <w:t>Tập đoàn Điện lực Việt Nam</w:t>
      </w:r>
    </w:p>
    <w:p>
      <w:pPr>
        <w:pStyle w:val="Normal"/>
        <w:bidi w:val="0"/>
        <w:spacing w:before="120" w:after="280"/>
        <w:rPr/>
      </w:pPr>
      <w:r>
        <w:rPr/>
        <w:t>a) Chủ động phối hợp với Công ty TNHH MTV Vận hành hệ thống điện và thị trường điện để xây dựng các kịch bản và triển khai các phương thức vận hành hệ thống điện quốc gia bảo đảm cung ứng điện an toàn, ổn định cho nền kinh tế;</w:t>
      </w:r>
    </w:p>
    <w:p>
      <w:pPr>
        <w:pStyle w:val="Normal"/>
        <w:bidi w:val="0"/>
        <w:spacing w:before="120" w:after="280"/>
        <w:rPr/>
      </w:pPr>
      <w:r>
        <w:rPr/>
        <w:t>b) Phối hợp chặt chẽ với Tập đoàn Công nghiệp - Năng lượng Quốc gia Việt Nam, Tập đoàn Công nghiệp Than - Khoáng sản Việt Nam và các đơn vị cung cấp nhiên liệu để bảo đảm nguồn cung than, khí và các loại nhiên liệu khác cho các nhà máy điện theo kế hoạch vận hành hệ thống điện quốc gia;</w:t>
      </w:r>
    </w:p>
    <w:p>
      <w:pPr>
        <w:pStyle w:val="Normal"/>
        <w:bidi w:val="0"/>
        <w:spacing w:before="120" w:after="280"/>
        <w:rPr/>
      </w:pPr>
      <w:r>
        <w:rPr/>
        <w:t>c) Chỉ đạo các Tổng công ty Điện lực, các Công ty Điện lực cấp tỉnh phối hợp với các Cấp điều độ có quyền điều khiển, các đơn vị chức năng tại địa phương và các cơ sở sản xuất, chế biến xăng dầu lập phương án bảo đảm cung ứng điện góp phần duy trì hoạt động ổn định của chuỗi cung ứng xăng dầu trong nước.</w:t>
      </w:r>
    </w:p>
    <w:p>
      <w:pPr>
        <w:pStyle w:val="Normal"/>
        <w:bidi w:val="0"/>
        <w:spacing w:before="120" w:after="280"/>
        <w:rPr/>
      </w:pPr>
      <w:r>
        <w:rPr>
          <w:b/>
          <w:bCs/>
        </w:rPr>
        <w:t>3.3</w:t>
      </w:r>
      <w:r>
        <w:rPr/>
        <w:t> </w:t>
      </w:r>
      <w:r>
        <w:rPr>
          <w:b/>
          <w:bCs/>
        </w:rPr>
        <w:t>Tập đoàn Công nghiệp Than - Khoáng sản Việt Nam và Binh đoàn 19 Bộ Quốc phòng (Tổng công ty Đông Bắc)</w:t>
      </w:r>
    </w:p>
    <w:p>
      <w:pPr>
        <w:pStyle w:val="Normal"/>
        <w:bidi w:val="0"/>
        <w:spacing w:before="120" w:after="280"/>
        <w:rPr/>
      </w:pPr>
      <w:r>
        <w:rPr/>
        <w:t>a) Chủ động xây dựng kế hoạch sản xuất, khai thác và cung ứng than phù hợp với nhu cầu của nền kinh tế; tăng cường công tác dự trữ, điều tiết nguồn than cung ứng cho các đơn vị sử dụng than trong nước; phối hợp chặt chẽ với Tập đoàn Điện lực Việt Nam và các đơn vị liên quan để bảo đảm cung cấp đủ than cho sản xuất điện theo kế hoạch;</w:t>
      </w:r>
    </w:p>
    <w:p>
      <w:pPr>
        <w:pStyle w:val="Normal"/>
        <w:bidi w:val="0"/>
        <w:spacing w:before="120" w:after="280"/>
        <w:rPr/>
      </w:pPr>
      <w:r>
        <w:rPr/>
        <w:t>b) Theo dõi sát diễn biến thị trường than quốc tế, chủ động xây dựng các phương án nhập khẩu, dự trữ và điều tiết nguồn than trong trường hợp nguồn cung năng lượng thế giới biến động.</w:t>
      </w:r>
    </w:p>
    <w:p>
      <w:pPr>
        <w:pStyle w:val="Normal"/>
        <w:bidi w:val="0"/>
        <w:spacing w:before="120" w:after="280"/>
        <w:rPr/>
      </w:pPr>
      <w:r>
        <w:rPr>
          <w:b/>
          <w:bCs/>
        </w:rPr>
        <w:t>3.4.</w:t>
      </w:r>
      <w:r>
        <w:rPr/>
        <w:t> </w:t>
      </w:r>
      <w:r>
        <w:rPr>
          <w:b/>
          <w:bCs/>
        </w:rPr>
        <w:t>Tập đoàn Xăng dầu Việt Nam</w:t>
      </w:r>
    </w:p>
    <w:p>
      <w:pPr>
        <w:pStyle w:val="Normal"/>
        <w:bidi w:val="0"/>
        <w:spacing w:before="120" w:after="280"/>
        <w:rPr/>
      </w:pPr>
      <w:r>
        <w:rPr/>
        <w:t>a) Tổ chức thực hiện kế hoạch tạo nguồn, nhập khẩu và dự trữ xăng dầu theo quy định của pháp luật; bảo đảm duy trì nguồn cung ổn định cho hệ thống phân phối trên phạm vi toàn quốc, nhất là khi thị trường thế giới biến động mạnh; Chỉ đạo hệ thống tổng kho, kho trung chuyển và mạng lưới phân phối chủ động điều tiết nguồn hàng giữa các khu vực; bảo đảm cung ứng đầy đủ, kịp thời xăng dầu cho hệ thống cửa hàng bán lẻ và các thương nhân nhận quyền;</w:t>
      </w:r>
    </w:p>
    <w:p>
      <w:pPr>
        <w:pStyle w:val="Normal"/>
        <w:bidi w:val="0"/>
        <w:spacing w:before="120" w:after="280"/>
        <w:rPr/>
      </w:pPr>
      <w:r>
        <w:rPr/>
        <w:t>b) Phối hợp với Bộ Công Thương, Bộ Tài chính và các cơ quan liên quan trong công tác điều hành thị trường xăng dầu; kịp thời báo cáo tình hình tạo nguồn, dự trữ, nhập khẩu và phân phối xăng dầu khi có yêu cầu.</w:t>
      </w:r>
    </w:p>
    <w:p>
      <w:pPr>
        <w:pStyle w:val="Normal"/>
        <w:bidi w:val="0"/>
        <w:spacing w:before="120" w:after="280"/>
        <w:rPr/>
      </w:pPr>
      <w:bookmarkStart w:id="5" w:name="dieu_4"/>
      <w:r>
        <w:rPr>
          <w:b/>
          <w:bCs/>
        </w:rPr>
        <w:t>4.</w:t>
      </w:r>
      <w:r>
        <w:rPr/>
        <w:t> </w:t>
      </w:r>
      <w:r>
        <w:rPr>
          <w:b/>
          <w:bCs/>
        </w:rPr>
        <w:t>Hiệp hội Xăng dầu Việt Nam</w:t>
      </w:r>
      <w:bookmarkEnd w:id="5"/>
    </w:p>
    <w:p>
      <w:pPr>
        <w:pStyle w:val="Normal"/>
        <w:bidi w:val="0"/>
        <w:spacing w:before="120" w:after="280"/>
        <w:rPr/>
      </w:pPr>
      <w:r>
        <w:rPr/>
        <w:t>Tăng cường cung cấp thông tin về diễn biến thị trường xăng dầu thế giới tới các hội viên, bảo đảm chính xác, kịp thời. Vận động hội viên thực hiện nghiêm các quy định tại Nghị định số </w:t>
      </w:r>
      <w:hyperlink r:id="rId3" w:tgtFrame="_blank">
        <w:r>
          <w:rPr>
            <w:rStyle w:val="Hyperlink"/>
            <w:strike w:val="false"/>
            <w:dstrike w:val="false"/>
            <w:color w:val="0000FF"/>
            <w:u w:val="none"/>
          </w:rPr>
          <w:t>83/2014/NĐ-CP</w:t>
        </w:r>
      </w:hyperlink>
      <w:r>
        <w:rPr/>
        <w:t>, Nghị định số </w:t>
      </w:r>
      <w:hyperlink r:id="rId4" w:tgtFrame="_blank">
        <w:r>
          <w:rPr>
            <w:rStyle w:val="Hyperlink"/>
            <w:strike w:val="false"/>
            <w:dstrike w:val="false"/>
            <w:color w:val="0000FF"/>
            <w:u w:val="none"/>
          </w:rPr>
          <w:t>95/2021/NĐ-CP</w:t>
        </w:r>
      </w:hyperlink>
      <w:r>
        <w:rPr/>
        <w:t>, Nghị định số </w:t>
      </w:r>
      <w:hyperlink r:id="rId5" w:tgtFrame="_blank">
        <w:r>
          <w:rPr>
            <w:rStyle w:val="Hyperlink"/>
            <w:strike w:val="false"/>
            <w:dstrike w:val="false"/>
            <w:color w:val="0000FF"/>
            <w:u w:val="none"/>
          </w:rPr>
          <w:t>80/2023/NĐ-CP</w:t>
        </w:r>
      </w:hyperlink>
      <w:r>
        <w:rPr/>
        <w:t> và các quy định pháp luật có liên quan; chủ động bảo đảm nguồn cung xăng dầu cho thị trường.</w:t>
      </w:r>
    </w:p>
    <w:p>
      <w:pPr>
        <w:pStyle w:val="Normal"/>
        <w:bidi w:val="0"/>
        <w:spacing w:before="120" w:after="280"/>
        <w:rPr/>
      </w:pPr>
      <w:bookmarkStart w:id="6" w:name="dieu_5"/>
      <w:r>
        <w:rPr>
          <w:b/>
          <w:bCs/>
        </w:rPr>
        <w:t>5.</w:t>
      </w:r>
      <w:r>
        <w:rPr/>
        <w:t> </w:t>
      </w:r>
      <w:r>
        <w:rPr>
          <w:b/>
          <w:bCs/>
        </w:rPr>
        <w:t>Các thương nhân đầu mối kinh doanh xăng dầu</w:t>
      </w:r>
      <w:bookmarkEnd w:id="6"/>
    </w:p>
    <w:p>
      <w:pPr>
        <w:pStyle w:val="Normal"/>
        <w:bidi w:val="0"/>
        <w:spacing w:before="120" w:after="280"/>
        <w:rPr/>
      </w:pPr>
      <w:r>
        <w:rPr/>
        <w:t>a) Thương nhân đầu mối kinh doanh xăng dầu thực hiện nghiêm túc, đầy đủ tổng nguồn xăng dầu tối thiểu năm 2026 đã được phân giao (cả về số lượng, chủng loại) và kế hoạch thực hiện tổng nguồn hàng quý đã đăng ký với Bộ Công Thương, báo cáo việc thực hiện kế hoạch tháng 3 và dự kiến tháng 4; chủ động dự báo tình hình, xây dựng kế hoạch ứng phó và đa dạng hóa nguồn cung xăng dầu (cả nguồn trong nước và nhập khẩu); thực hiện nghiêm túc việc dự trữ xăng dầu theo quy định của pháp luật để bảo đảm cung cấp đầy đủ xăng dầu cho thị trường trong nước trong mọi tình huống;</w:t>
      </w:r>
    </w:p>
    <w:p>
      <w:pPr>
        <w:pStyle w:val="Normal"/>
        <w:bidi w:val="0"/>
        <w:spacing w:before="120" w:after="280"/>
        <w:rPr/>
      </w:pPr>
      <w:r>
        <w:rPr/>
        <w:t>b) Nghiêm túc thực hiện cam kết với các thương nhân sản xuất xăng dầu trong nước (tại hợp đồng ký kết giữa các bên), để bảo đảm các thương nhân sản xuất và thương nhân kinh doanh xăng dầu thực hiện quyền, nghĩa vụ, trách nhiệm của mình theo đúng nội dung, sản lượng đã ký kết giữa các bên theo quy định của pháp luật;</w:t>
      </w:r>
    </w:p>
    <w:p>
      <w:pPr>
        <w:pStyle w:val="Normal"/>
        <w:bidi w:val="0"/>
        <w:spacing w:before="120" w:after="280"/>
        <w:rPr/>
      </w:pPr>
      <w:r>
        <w:rPr/>
        <w:t>c) Thương nhân đầu mối kinh doanh xăng dầu tuyệt đối không găm hàng chờ tăng giá, không để gián đoạn nguồn cung xăng dầu trong hệ thống kinh doanh (từ thương nhân đầu mối, thương nhân phân phối, cửa hàng bán lẻ xăng dầu); nỗ lực trong mọi tình huống phải cung cấp đủ xăng dầu cho cửa hàng bán lẻ thuộc hệ thống phân phối của thương nhân, bố trí đủ nhân lực, tổ chức trực hoặc tăng ca để duy trì hoạt động bán hàng thường xuyên, liên tục; chú trọng chia sẻ nguồn cung, chia sẻ khó khăn, thuận lợi để đảm bảo không bị gián đoạn việc cung ứng xăng dầu cho thị trường; tuyệt đối cấm các hành vi trục lợi bất hợp pháp;</w:t>
      </w:r>
    </w:p>
    <w:p>
      <w:pPr>
        <w:pStyle w:val="Normal"/>
        <w:bidi w:val="0"/>
        <w:spacing w:before="120" w:after="280"/>
        <w:rPr/>
      </w:pPr>
      <w:r>
        <w:rPr/>
        <w:t>d) Chịu trách nhiệm cung cấp đầy đủ, kịp thời các số liệu, dữ liệu cho các cơ quan chức năng (Bộ Tài chính, Bộ Công Thương ...) để làm cơ sở cập nhật chính xác, tính đủ các chi phí kinh doanh xăng dầu trong công thức tính giá cơ sở mặt hàng xăng dầu, đảm bảo hiệu quả trong công tác điều hành, bình ổn giá mặt hàng xăng dầu, hài hòa lợi ích của Nhà nước, doanh nghiệp và người dân.</w:t>
      </w:r>
    </w:p>
    <w:p>
      <w:pPr>
        <w:pStyle w:val="Normal"/>
        <w:bidi w:val="0"/>
        <w:spacing w:before="120" w:after="280"/>
        <w:rPr/>
      </w:pPr>
      <w:bookmarkStart w:id="7" w:name="dieu_6"/>
      <w:r>
        <w:rPr>
          <w:b/>
          <w:bCs/>
        </w:rPr>
        <w:t>6.</w:t>
      </w:r>
      <w:r>
        <w:rPr/>
        <w:t> </w:t>
      </w:r>
      <w:r>
        <w:rPr>
          <w:b/>
          <w:bCs/>
        </w:rPr>
        <w:t>Các thương nhân đầu mối sản xuất xăng dầu</w:t>
      </w:r>
      <w:bookmarkEnd w:id="7"/>
    </w:p>
    <w:p>
      <w:pPr>
        <w:pStyle w:val="Normal"/>
        <w:bidi w:val="0"/>
        <w:spacing w:before="120" w:after="280"/>
        <w:rPr/>
      </w:pPr>
      <w:r>
        <w:rPr/>
        <w:t>a) Duy trì hoạt động sản xuất ổn định, an toàn và liên tục của các nhà máy lọc dầu, bảo đảm sản lượng xăng dầu sản xuất trong nước theo kế hoạch đã đăng ký với cơ quan quản lý nhà nước; chủ động tối ưu hóa công suất vận hành trong điều kiện kỹ thuật cho phép nhằm góp phần tăng nguồn cung xăng dầu cho thị trường trong nước khi thị trường thế giới có biến động;</w:t>
      </w:r>
    </w:p>
    <w:p>
      <w:pPr>
        <w:pStyle w:val="Normal"/>
        <w:bidi w:val="0"/>
        <w:spacing w:before="120" w:after="280"/>
        <w:rPr/>
      </w:pPr>
      <w:r>
        <w:rPr/>
        <w:t>b) Chủ động xây dựng kế hoạch sản xuất, dự trữ và cung ứng xăng dầu phù hợp với nhu cầu của thị trường; thực hiện nghiêm túc các cam kết cung ứng xăng dầu theo hợp đồng đã ký kết với các thương nhân đầu mối kinh doanh xăng dầu và các đối tác trong hệ thống phân phối;</w:t>
      </w:r>
    </w:p>
    <w:p>
      <w:pPr>
        <w:pStyle w:val="Normal"/>
        <w:bidi w:val="0"/>
        <w:spacing w:before="120" w:after="280"/>
        <w:rPr/>
      </w:pPr>
      <w:r>
        <w:rPr/>
        <w:t>c) Có giải pháp đảm bảo nhập khẩu dầu thô ổn định, đồng thời tiếp tục đa dạng hóa nguồn dầu thô nhập khẩu trong tháng 4/2026 và những tháng tới, cung ứng đủ xăng dầu cho thị trường, đảm bảo tiến độ giao hàng theo đúng kế hoạch đã đăng ký. Các nhà máy lọc dầu (Dung Quất, Nghi Sơn) bảo đảm vận hành ổn định, an toàn phòng cháy chữa cháy và môi trường;</w:t>
      </w:r>
    </w:p>
    <w:p>
      <w:pPr>
        <w:pStyle w:val="Normal"/>
        <w:bidi w:val="0"/>
        <w:spacing w:before="120" w:after="280"/>
        <w:rPr/>
      </w:pPr>
      <w:r>
        <w:rPr/>
        <w:t>d) Phối hợp chặt chẽ với Bộ Công Thương và các cơ quan liên quan trong việc theo dõi, đánh giá tình hình cung - cầu xăng dầu; kịp thời báo cáo về tình hình sản xuất, tồn kho, kế hoạch bảo dưỡng, sửa chữa nhà máy và các yếu tố có thể ảnh hưởng đến sản lượng cung ứng xăng dầu cho thị trường để có biện pháp xử lý kịp thời.</w:t>
      </w:r>
    </w:p>
    <w:p>
      <w:pPr>
        <w:pStyle w:val="Normal"/>
        <w:bidi w:val="0"/>
        <w:spacing w:before="120" w:after="280"/>
        <w:rPr/>
      </w:pPr>
      <w:bookmarkStart w:id="8" w:name="dieu_7"/>
      <w:r>
        <w:rPr>
          <w:b/>
          <w:bCs/>
        </w:rPr>
        <w:t>7.</w:t>
      </w:r>
      <w:r>
        <w:rPr/>
        <w:t> </w:t>
      </w:r>
      <w:r>
        <w:rPr>
          <w:b/>
          <w:bCs/>
        </w:rPr>
        <w:t>Các thương nhân phân phối xăng dầu</w:t>
      </w:r>
      <w:bookmarkEnd w:id="8"/>
    </w:p>
    <w:p>
      <w:pPr>
        <w:pStyle w:val="Normal"/>
        <w:bidi w:val="0"/>
        <w:spacing w:before="120" w:after="280"/>
        <w:rPr/>
      </w:pPr>
      <w:r>
        <w:rPr/>
        <w:t>a) Thực hiện nghiêm các quy định của pháp luật về kinh doanh xăng dầu; chủ động xây dựng kế hoạch tạo nguồn, dự trữ và tổ chức hệ thống phân phối nhằm bảo đảm cung ứng đầy đủ, liên tục xăng dầu cho đại lý, nhận quyền, cửa hàng bán lẻ thuộc hệ thống phân phối của mình; thường xuyên theo dõi tình hình cung - cầu xăng dầu trên địa bàn, kịp thời điều tiết nguồn hàng trong hệ thống nhằm bảo đảm hoạt động kinh doanh xăng dầu được duy trì ổn định, liên tục;</w:t>
      </w:r>
    </w:p>
    <w:p>
      <w:pPr>
        <w:pStyle w:val="Normal"/>
        <w:bidi w:val="0"/>
        <w:spacing w:before="120" w:after="280"/>
        <w:rPr/>
      </w:pPr>
      <w:r>
        <w:rPr/>
        <w:t>b) Nghiêm cấm các hành vi găm hàng, giảm bán, gián đoạn bán hàng không có lý do chính đáng hoặc các hành vi vi phạm quy định của pháp luật về kinh doanh xăng dầu, gây bất ổn thị trường;</w:t>
      </w:r>
    </w:p>
    <w:p>
      <w:pPr>
        <w:pStyle w:val="Normal"/>
        <w:bidi w:val="0"/>
        <w:spacing w:before="120" w:after="280"/>
        <w:rPr/>
      </w:pPr>
      <w:r>
        <w:rPr/>
        <w:t>c) Phối hợp chặt chẽ với cơ quan quản lý nhà nước, lực lượng Quản lý thị trường và các cơ quan chức năng trong công tác kiểm tra, giám sát hoạt động kinh doanh xăng dầu; kịp thời báo cáo cơ quan quản lý nhà nước có thẩm quyền và thương nhân đầu mối cung cấp nguồn khi phát sinh khó khăn, vướng mắc trong việc bảo đảm nguồn cung xăng dầu.</w:t>
      </w:r>
    </w:p>
    <w:p>
      <w:pPr>
        <w:pStyle w:val="Normal"/>
        <w:bidi w:val="0"/>
        <w:spacing w:before="120" w:after="280"/>
        <w:rPr/>
      </w:pPr>
      <w:bookmarkStart w:id="9" w:name="dieu_8"/>
      <w:r>
        <w:rPr>
          <w:b/>
          <w:bCs/>
        </w:rPr>
        <w:t>8.</w:t>
      </w:r>
      <w:r>
        <w:rPr/>
        <w:t> </w:t>
      </w:r>
      <w:r>
        <w:rPr>
          <w:b/>
          <w:bCs/>
        </w:rPr>
        <w:t>Các đơn vị thuộc Bộ Công Thương</w:t>
      </w:r>
      <w:bookmarkEnd w:id="9"/>
    </w:p>
    <w:p>
      <w:pPr>
        <w:pStyle w:val="Normal"/>
        <w:bidi w:val="0"/>
        <w:spacing w:before="120" w:after="280"/>
        <w:rPr/>
      </w:pPr>
      <w:r>
        <w:rPr>
          <w:b/>
          <w:bCs/>
        </w:rPr>
        <w:t>8.1.</w:t>
      </w:r>
      <w:r>
        <w:rPr/>
        <w:t> </w:t>
      </w:r>
      <w:r>
        <w:rPr>
          <w:b/>
          <w:bCs/>
        </w:rPr>
        <w:t>Cục Quản lý và Phát triển thị trường trong nước</w:t>
      </w:r>
    </w:p>
    <w:p>
      <w:pPr>
        <w:pStyle w:val="Normal"/>
        <w:bidi w:val="0"/>
        <w:spacing w:before="120" w:after="280"/>
        <w:rPr/>
      </w:pPr>
      <w:r>
        <w:rPr/>
        <w:t>a) Theo dõi sát diễn biến thị trường xăng dầu thế giới và trong nước; thường xuyên đánh giá tình hình cung cầu, dự trữ và hoạt động của hệ thống phân phối xăng dầu để kịp thời tham mưu Lãnh đạo Bộ các giải pháp điều hành phù hợp trong từng thời điểm;</w:t>
      </w:r>
    </w:p>
    <w:p>
      <w:pPr>
        <w:pStyle w:val="Normal"/>
        <w:bidi w:val="0"/>
        <w:spacing w:before="120" w:after="280"/>
        <w:rPr/>
      </w:pPr>
      <w:r>
        <w:rPr/>
        <w:t>b) Theo dõi chặt chẽ việc thực hiện tổng nguồn xăng dầu tối thiểu năm 2026 của các thương nhân đầu mối kinh doanh xăng dầu; trong trường hợp cần thiết, chủ trì, phối hợp Cục Xuất nhập khẩu và các đơn vị có liên quan, kịp thời tham mưu Lãnh đạo Bộ điều chỉnh phân giao tổng nguồn xăng dầu tối thiểu, quy định cụ thể tiến độ nhập khẩu hoặc mua xăng dầu trong nước để thương nhân đầu mối thực hiện, xem xét giao bổ sung hạn mức nhập khẩu xăng dầu cho một số thương nhân đầu mối có năng lực để chủ động thực hiện, bảo đảm nguồn cung trong mọi tình huống;</w:t>
      </w:r>
    </w:p>
    <w:p>
      <w:pPr>
        <w:pStyle w:val="Normal"/>
        <w:bidi w:val="0"/>
        <w:spacing w:before="120" w:after="280"/>
        <w:rPr/>
      </w:pPr>
      <w:r>
        <w:rPr/>
        <w:t>c) Chủ trì, phối hợp với Vụ Dầu khí và Than và các đơn vị liên quan theo dõi chặt chẽ tình hình sản xuất của các nhà máy lọc dầu trong nước, tình hình nhập khẩu xăng dầu, từ đó kịp thời đề xuất các giải pháp cân đối cung - cầu;</w:t>
      </w:r>
    </w:p>
    <w:p>
      <w:pPr>
        <w:pStyle w:val="Normal"/>
        <w:bidi w:val="0"/>
        <w:spacing w:before="120" w:after="280"/>
        <w:rPr/>
      </w:pPr>
      <w:r>
        <w:rPr/>
        <w:t>d) Phối hợp với các cơ quan thuộc Bộ Tài chính thực hiện công tác điều hành giá xăng dầu theo quy định; kịp thời đề xuất các giải pháp bình ổn thị trường khi giá xăng dầu thế giới biến động mạnh;</w:t>
      </w:r>
    </w:p>
    <w:p>
      <w:pPr>
        <w:pStyle w:val="Normal"/>
        <w:bidi w:val="0"/>
        <w:spacing w:before="120" w:after="280"/>
        <w:rPr/>
      </w:pPr>
      <w:r>
        <w:rPr/>
        <w:t>đ) Phối hợp với các cơ quan thuộc Ngân hàng Nhà nước Việt Nam đề xuất các giải pháp nhằm hỗ trợ các thương nhân đầu mối kinh doanh xăng dầu, thương nhân phân phối xăng dầu tiếp cận nguồn vốn, ngoại tệ, tín dụng ưu đãi để nhập khẩu dầu thô, sản phẩm xăng dầu bảo đảm nguồn cung xăng dầu cho thị trường trong nước;</w:t>
      </w:r>
    </w:p>
    <w:p>
      <w:pPr>
        <w:pStyle w:val="Normal"/>
        <w:bidi w:val="0"/>
        <w:spacing w:before="120" w:after="280"/>
        <w:rPr/>
      </w:pPr>
      <w:r>
        <w:rPr/>
        <w:t>e) Phối hợp chặt chẽ với Cục Quản lý giá (Bộ Tài chính) và các đơn vị có liên quan thuộc Bộ Công Thương theo dõi sát diễn biến thị trường xăng dầu thế giới và tình hình sản xuất trong nước để tham mưu điều hành giá xăng dầu theo đúng quy định;</w:t>
      </w:r>
    </w:p>
    <w:p>
      <w:pPr>
        <w:pStyle w:val="Normal"/>
        <w:bidi w:val="0"/>
        <w:spacing w:before="120" w:after="280"/>
        <w:rPr/>
      </w:pPr>
      <w:r>
        <w:rPr/>
        <w:t>g) Tăng cường giám sát, kiểm tra và kịp thời xử lý nghiêm các vi phạm trong kinh doanh xăng dầu; phối hợp với Sở Công Thương trong việc thực hiện quản lý nhà nước đối với mặt hàng xăng dầu, chỉ đạo lực lượng Quản lý thị trường địa phương thực hiện kiểm tra đối với việc chấp hành pháp luật trong hoạt động kinh doanh xăng dầu của các doanh nghiệp; xử lý nghiêm các hành vi găm hàng chờ tăng giá, trục lợi trong hoạt động kinh doanh xăng dầu;</w:t>
      </w:r>
    </w:p>
    <w:p>
      <w:pPr>
        <w:pStyle w:val="Normal"/>
        <w:bidi w:val="0"/>
        <w:spacing w:before="120" w:after="280"/>
        <w:rPr/>
      </w:pPr>
      <w:r>
        <w:rPr/>
        <w:t>h) Phối hợp chặt chẽ với các cơ quan truyền thông để thông tin thường xuyên, đầy đủ về nguồn cung xăng dầu, công tác điều hành thị trường xăng dầu nhằm ổn định tâm lý người dân, doanh nghiệp và đồng thuận trong dư luận xã hội.</w:t>
      </w:r>
    </w:p>
    <w:p>
      <w:pPr>
        <w:pStyle w:val="Normal"/>
        <w:bidi w:val="0"/>
        <w:spacing w:before="120" w:after="280"/>
        <w:rPr/>
      </w:pPr>
      <w:r>
        <w:rPr>
          <w:b/>
          <w:bCs/>
        </w:rPr>
        <w:t>8.2.</w:t>
      </w:r>
      <w:r>
        <w:rPr/>
        <w:t> </w:t>
      </w:r>
      <w:r>
        <w:rPr>
          <w:b/>
          <w:bCs/>
        </w:rPr>
        <w:t>Cục Đổi mới sáng tạo, Chuyển đổi xanh và Khuyến công</w:t>
      </w:r>
    </w:p>
    <w:p>
      <w:pPr>
        <w:pStyle w:val="Normal"/>
        <w:bidi w:val="0"/>
        <w:spacing w:before="120" w:after="280"/>
        <w:rPr/>
      </w:pPr>
      <w:r>
        <w:rPr/>
        <w:t>a) Chủ trì, phối hợp với các đơn vị thuộc Bộ, các bộ, ngành, địa phương và các đơn vị liên quan tổ chức triển khai lộ trình sản xuất, phối trộn và sử dụng nhiên liệu sinh học bảo đảm đồng bộ, hiệu quả; chủ động rà soát, dự báo các vấn đề có thể phát sinh trong quá trình thực hiện để kịp thời đề xuất biện pháp xử lý phù hợp; đẩy mạnh công tác thông tin, tuyên truyền nhằm tạo sự đồng thuận của xã hội và khuyến khích người tiêu dùng tích cực sử dụng nhiên liệu sinh học;</w:t>
      </w:r>
    </w:p>
    <w:p>
      <w:pPr>
        <w:pStyle w:val="Normal"/>
        <w:bidi w:val="0"/>
        <w:spacing w:before="120" w:after="280"/>
        <w:rPr/>
      </w:pPr>
      <w:r>
        <w:rPr/>
        <w:t>b) Chủ trì, phối hợp với các đơn vị của Bộ Khoa học và Công nghệ và các đơn vị liên quan nghiên cứu, xây dựng, rà soát, sửa đổi, bổ sung các quy chuẩn kỹ thuật, tiêu chuẩn quốc gia về chất lượng xăng dầu và nhiên liệu sinh học (nếu cần) cho phù hợp với yêu cầu quản lý nhà nước và thực tiễn thị trường;</w:t>
      </w:r>
    </w:p>
    <w:p>
      <w:pPr>
        <w:pStyle w:val="Normal"/>
        <w:bidi w:val="0"/>
        <w:spacing w:before="120" w:after="280"/>
        <w:rPr/>
      </w:pPr>
      <w:r>
        <w:rPr/>
        <w:t>c) Chủ trì, phối hợp với các đơn vị có liên quan rà soát, đánh giá tổng thể việc thực hiện Thông tư số </w:t>
      </w:r>
      <w:hyperlink r:id="rId6" w:tgtFrame="_blank">
        <w:r>
          <w:rPr>
            <w:rStyle w:val="Hyperlink"/>
            <w:strike w:val="false"/>
            <w:dstrike w:val="false"/>
            <w:color w:val="0000FF"/>
            <w:u w:val="none"/>
          </w:rPr>
          <w:t>43/2015/TT-BCT</w:t>
        </w:r>
      </w:hyperlink>
      <w:r>
        <w:rPr/>
        <w:t> ngày 08 tháng 12 năm 2015 của Bộ Công Thương quy định tỷ lệ hao hụt xăng dầu trong hoạt động kinh doanh xăng dầu, trên cơ sở đó đề xuất sửa đổi, bổ sung cho phù hợp với thực tiễn hoạt động kinh doanh xăng dầu hiện nay.</w:t>
      </w:r>
    </w:p>
    <w:p>
      <w:pPr>
        <w:pStyle w:val="Normal"/>
        <w:bidi w:val="0"/>
        <w:spacing w:before="120" w:after="280"/>
        <w:rPr/>
      </w:pPr>
      <w:r>
        <w:rPr>
          <w:b/>
          <w:bCs/>
        </w:rPr>
        <w:t>8.3.</w:t>
      </w:r>
      <w:r>
        <w:rPr/>
        <w:t> </w:t>
      </w:r>
      <w:r>
        <w:rPr>
          <w:b/>
          <w:bCs/>
        </w:rPr>
        <w:t>Cục Điện lực</w:t>
      </w:r>
    </w:p>
    <w:p>
      <w:pPr>
        <w:pStyle w:val="Normal"/>
        <w:bidi w:val="0"/>
        <w:spacing w:before="120" w:after="280"/>
        <w:rPr/>
      </w:pPr>
      <w:r>
        <w:rPr/>
        <w:t>a) Chỉ đạo Công ty TNHH MTV Vận hành hệ thống điện và thị trường điện phối hợp với các Tập đoàn, Tổng công ty năng lượng rà soát, cập nhật Phương thức vận hành hệ thống điện các tháng còn lại của năm 2026; bảo đảm cung ứng điện, duy trì dự phòng nguồn và chuẩn bị phương án ứng phó các kịch bản vận hành bất lợi, nhất là trong cao điểm mùa khô và khi thị trường năng lượng quốc tế biến động ảnh hưởng đến nguồn nhiên liệu cho sản xuất điện;</w:t>
      </w:r>
    </w:p>
    <w:p>
      <w:pPr>
        <w:pStyle w:val="Normal"/>
        <w:bidi w:val="0"/>
        <w:spacing w:before="120" w:after="280"/>
        <w:rPr/>
      </w:pPr>
      <w:r>
        <w:rPr/>
        <w:t>b) Tăng cường theo dõi, đánh giá cân đối cung - cầu điện của hệ thống điện quốc gia; kịp thời tổng hợp các khó khăn, vướng mắc phát sinh trong quá trình cung ứng điện, báo cáo Lãnh đạo Bộ để xem xét, chỉ đạo xử lý;</w:t>
      </w:r>
    </w:p>
    <w:p>
      <w:pPr>
        <w:pStyle w:val="Normal"/>
        <w:bidi w:val="0"/>
        <w:spacing w:before="120" w:after="280"/>
        <w:rPr/>
      </w:pPr>
      <w:r>
        <w:rPr/>
        <w:t>c) Tiếp tục triển khai thực hiện có hiệu quả Chỉ thị số </w:t>
      </w:r>
      <w:hyperlink r:id="rId7" w:tgtFrame="_blank">
        <w:r>
          <w:rPr>
            <w:rStyle w:val="Hyperlink"/>
            <w:strike w:val="false"/>
            <w:dstrike w:val="false"/>
            <w:color w:val="0000FF"/>
            <w:u w:val="none"/>
          </w:rPr>
          <w:t>04/CT-BCT</w:t>
        </w:r>
      </w:hyperlink>
      <w:r>
        <w:rPr/>
        <w:t> ngày 13 tháng 02 năm 2026 của Quyền Bộ trưởng Bộ Công Thương về việc triển khai các giải pháp, nhiệm vụ bảo đảm cung cấp điện trong thời gian cao điểm năm 2026 và giai đoạn 2027-2030, thúc đẩy tiến độ các dự án nguồn, lưới điện trọng điểm.</w:t>
      </w:r>
    </w:p>
    <w:p>
      <w:pPr>
        <w:pStyle w:val="Normal"/>
        <w:bidi w:val="0"/>
        <w:spacing w:before="120" w:after="280"/>
        <w:rPr/>
      </w:pPr>
      <w:r>
        <w:rPr>
          <w:b/>
          <w:bCs/>
        </w:rPr>
        <w:t>8.4.</w:t>
      </w:r>
      <w:r>
        <w:rPr/>
        <w:t> </w:t>
      </w:r>
      <w:r>
        <w:rPr>
          <w:b/>
          <w:bCs/>
        </w:rPr>
        <w:t>Cục Xuất nhập khẩu</w:t>
      </w:r>
    </w:p>
    <w:p>
      <w:pPr>
        <w:pStyle w:val="Normal"/>
        <w:bidi w:val="0"/>
        <w:spacing w:before="120" w:after="280"/>
        <w:rPr/>
      </w:pPr>
      <w:r>
        <w:rPr/>
        <w:t>Phối hợp với các đơn vị thuộc Bộ Công Thương và các cơ quan liên quan theo dõi, đánh giá tác động của biến động thương mại quốc tế, chi phí vận tải, bảo hiểm và các yếu tố thị trường khác đến hoạt động nhập khẩu xăng dầu, từ đó đề xuất các giải pháp bảo đảm ổn định cho thị trường trong nước.</w:t>
      </w:r>
    </w:p>
    <w:p>
      <w:pPr>
        <w:pStyle w:val="Normal"/>
        <w:bidi w:val="0"/>
        <w:spacing w:before="120" w:after="280"/>
        <w:rPr/>
      </w:pPr>
      <w:r>
        <w:rPr>
          <w:b/>
          <w:bCs/>
        </w:rPr>
        <w:t>8.5.</w:t>
      </w:r>
      <w:r>
        <w:rPr/>
        <w:t> </w:t>
      </w:r>
      <w:r>
        <w:rPr>
          <w:b/>
          <w:bCs/>
        </w:rPr>
        <w:t>Vụ Dầu khí và Than</w:t>
      </w:r>
    </w:p>
    <w:p>
      <w:pPr>
        <w:pStyle w:val="Normal"/>
        <w:bidi w:val="0"/>
        <w:spacing w:before="120" w:after="280"/>
        <w:rPr/>
      </w:pPr>
      <w:r>
        <w:rPr/>
        <w:t>Theo dõi sát tình hình sản xuất của Nhà máy Lọc dầu Dung Quất và Nhà máy Lọc hóa dầu Nghi Sơn; kịp thời báo cáo Lãnh đạo Bộ trong trường hợp có nguy cơ gián đoạn nguồn nguyên liệu hoặc giảm công suất sản xuất. Phối hợp với các đơn vị liên quan thúc đẩy việc đa dạng hóa nguồn cung dầu thô cho các nhà máy lọc dầu trong nước; tăng cường khai thác và sử dụng hiệu quả nguồn dầu thô và condensate trong nước.</w:t>
      </w:r>
    </w:p>
    <w:p>
      <w:pPr>
        <w:pStyle w:val="Normal"/>
        <w:bidi w:val="0"/>
        <w:spacing w:before="120" w:after="280"/>
        <w:rPr/>
      </w:pPr>
      <w:r>
        <w:rPr>
          <w:b/>
          <w:bCs/>
        </w:rPr>
        <w:t>8.6.</w:t>
      </w:r>
      <w:r>
        <w:rPr/>
        <w:t> </w:t>
      </w:r>
      <w:r>
        <w:rPr>
          <w:b/>
          <w:bCs/>
        </w:rPr>
        <w:t>Vụ Kế hoạch, Tài chính và Quản lý doanh nghiệp</w:t>
      </w:r>
    </w:p>
    <w:p>
      <w:pPr>
        <w:pStyle w:val="Normal"/>
        <w:bidi w:val="0"/>
        <w:spacing w:before="120" w:after="280"/>
        <w:rPr/>
      </w:pPr>
      <w:r>
        <w:rPr/>
        <w:t>Chủ trì, phối hợp với các đơn vị có liên quan báo cáo cấp có thẩm quyền đẩy nhanh việc bổ sung dự trữ quốc gia xăng dầu tại thời điểm thích hợp; xây dựng phương án xuất, cấp dự trữ quốc gia về xăng dầu trong các trường hợp khẩn cấp theo quy định của pháp luật và tinh thần chỉ đạo của Lãnh đạo Chính phủ.</w:t>
      </w:r>
    </w:p>
    <w:p>
      <w:pPr>
        <w:pStyle w:val="Normal"/>
        <w:bidi w:val="0"/>
        <w:spacing w:before="120" w:after="280"/>
        <w:rPr/>
      </w:pPr>
      <w:r>
        <w:rPr>
          <w:b/>
          <w:bCs/>
        </w:rPr>
        <w:t>8.7.</w:t>
      </w:r>
      <w:r>
        <w:rPr/>
        <w:t> </w:t>
      </w:r>
      <w:r>
        <w:rPr>
          <w:b/>
          <w:bCs/>
        </w:rPr>
        <w:t>Vụ Pháp chế</w:t>
      </w:r>
    </w:p>
    <w:p>
      <w:pPr>
        <w:pStyle w:val="Normal"/>
        <w:bidi w:val="0"/>
        <w:spacing w:before="120" w:after="280"/>
        <w:rPr/>
      </w:pPr>
      <w:r>
        <w:rPr/>
        <w:t>a) Chủ trì, phối hợp với các đơn vị có liên quan chủ động rà soát, đề xuất quy định tại các văn bản quy phạm pháp luật trong lĩnh vực kinh doanh xăng dầu, cần thiết sửa đổi, bổ sung cho phù hợp với thực tiễn, quy định của pháp luật hiện hành;</w:t>
      </w:r>
    </w:p>
    <w:p>
      <w:pPr>
        <w:pStyle w:val="Normal"/>
        <w:bidi w:val="0"/>
        <w:spacing w:before="120" w:after="280"/>
        <w:rPr/>
      </w:pPr>
      <w:r>
        <w:rPr/>
        <w:t>b) Chủ trì, phối hợp với các đơn vị liên quan tăng cường công tác theo dõi thi hành pháp luật, tuyên truyền, phổ biến quy định trong lĩnh vực kinh doanh xăng dầu theo chức năng, nhiệm vụ được giao.</w:t>
      </w:r>
    </w:p>
    <w:p>
      <w:pPr>
        <w:pStyle w:val="Normal"/>
        <w:bidi w:val="0"/>
        <w:spacing w:before="120" w:after="280"/>
        <w:rPr/>
      </w:pPr>
      <w:r>
        <w:rPr>
          <w:b/>
          <w:bCs/>
        </w:rPr>
        <w:t>8.8.</w:t>
      </w:r>
      <w:r>
        <w:rPr/>
        <w:t> </w:t>
      </w:r>
      <w:r>
        <w:rPr>
          <w:b/>
          <w:bCs/>
        </w:rPr>
        <w:t>Công ty TNHH MTV Vận hành hệ thống điện và thị trường điện quốc gia</w:t>
      </w:r>
    </w:p>
    <w:p>
      <w:pPr>
        <w:pStyle w:val="Normal"/>
        <w:bidi w:val="0"/>
        <w:spacing w:before="120" w:after="280"/>
        <w:rPr/>
      </w:pPr>
      <w:r>
        <w:rPr/>
        <w:t>a) Chủ động phối hợp với các Tập đoàn, Tổng công ty ngành năng lượng rà soát, cập nhật Phương thức vận hành hệ thống điện các tháng còn lại của năm 2026 với mục tiêu bảo đảm cung ứng điện, bảo đảm dự phòng nguồn cung, đồng thời chuẩn bị sẵn sàng các phương án dự phòng nhằm kiểm soát, ứng phó hiệu quả trước các kịch bản vận hành cực đoan có thể xảy ra, đặc biệt trong các thời kỳ cao điểm mùa khô và trong trường hợp thị trường năng lượng quốc tế có biến động ảnh hưởng đến nguồn cung nhiên liệu cho sản xuất điện;</w:t>
      </w:r>
    </w:p>
    <w:p>
      <w:pPr>
        <w:pStyle w:val="Normal"/>
        <w:bidi w:val="0"/>
        <w:spacing w:before="120" w:after="280"/>
        <w:rPr/>
      </w:pPr>
      <w:r>
        <w:rPr/>
        <w:t>b) Tăng cường tối ưu hóa công tác điều độ, vận hành hệ thống điện quốc gia, huy động hợp lý, hiệu quả các nguồn điện hiện có nhằm giảm áp lực sử dụng các loại nhiên liệu nhập khẩu khi thị trường năng lượng quốc tế biến động.</w:t>
      </w:r>
    </w:p>
    <w:p>
      <w:pPr>
        <w:pStyle w:val="Normal"/>
        <w:bidi w:val="0"/>
        <w:spacing w:before="120" w:after="280"/>
        <w:rPr/>
      </w:pPr>
      <w:r>
        <w:rPr>
          <w:b/>
          <w:bCs/>
        </w:rPr>
        <w:t>8.9.</w:t>
      </w:r>
      <w:r>
        <w:rPr/>
        <w:t> </w:t>
      </w:r>
      <w:r>
        <w:rPr>
          <w:b/>
          <w:bCs/>
        </w:rPr>
        <w:t>Các đơn vị báo chí thuộc Bộ Công Thương</w:t>
      </w:r>
    </w:p>
    <w:p>
      <w:pPr>
        <w:pStyle w:val="Normal"/>
        <w:bidi w:val="0"/>
        <w:spacing w:before="120" w:after="280"/>
        <w:rPr/>
      </w:pPr>
      <w:r>
        <w:rPr/>
        <w:t>Phối hợp chặt chẽ với Văn phòng Bộ và Cục Quản lý và Phát triển thị trường trong nước để chủ động, kịp thời thông tin, tuyên truyền chính xác, đầy đủ về tình hình cung ứng xăng dầu và các chủ trương, giải pháp, chỉ đạo của Chính phủ, Thủ tướng Chính phủ, Bộ Công Thương và các bộ, ngành, địa phương trong việc bảo đảm nguồn cung xăng dầu cho thị trường trong nước; góp phần tạo sự đồng thuận trong xã hội, ổn định tâm lý người dân và doanh nghiệp, tránh đưa tin sai lệch, chưa được kiểm chứng gây hoang mang dư luận, ảnh hưởng đến hoạt động sản xuất, kinh doanh và ổn định thị trường.</w:t>
      </w:r>
    </w:p>
    <w:p>
      <w:pPr>
        <w:pStyle w:val="Normal"/>
        <w:bidi w:val="0"/>
        <w:spacing w:before="120" w:after="280"/>
        <w:rPr/>
      </w:pPr>
      <w:r>
        <w:rPr>
          <w:b/>
          <w:bCs/>
        </w:rPr>
        <w:t>8.10.</w:t>
      </w:r>
      <w:r>
        <w:rPr/>
        <w:t> </w:t>
      </w:r>
      <w:r>
        <w:rPr>
          <w:b/>
          <w:bCs/>
        </w:rPr>
        <w:t>Các đơn vị thuộc Bộ có liên quan</w:t>
      </w:r>
    </w:p>
    <w:p>
      <w:pPr>
        <w:pStyle w:val="Normal"/>
        <w:bidi w:val="0"/>
        <w:spacing w:before="120" w:after="280"/>
        <w:rPr/>
      </w:pPr>
      <w:r>
        <w:rPr/>
        <w:t>Theo chức năng, nhiệm vụ được giao, chủ động phối hợp với các đơn vị thuộc Bộ, các bộ, ngành, địa phương và doanh nghiệp liên quan triển khai thực hiện hiệu quả các nhiệm vụ, giải pháp nêu tại Chỉ thị này; kịp thời tổng hợp, báo cáo Lãnh đạo Bộ các khó khăn, vướng mắc phát sinh trong quá trình thực hiện để xem xét, chỉ đạo xử lý theo thẩm quyền.</w:t>
      </w:r>
    </w:p>
    <w:p>
      <w:pPr>
        <w:pStyle w:val="Normal"/>
        <w:bidi w:val="0"/>
        <w:spacing w:before="120" w:after="280"/>
        <w:rPr/>
      </w:pPr>
      <w:bookmarkStart w:id="10" w:name="dieu_9"/>
      <w:r>
        <w:rPr>
          <w:b/>
          <w:bCs/>
        </w:rPr>
        <w:t>9.</w:t>
      </w:r>
      <w:r>
        <w:rPr/>
        <w:t> </w:t>
      </w:r>
      <w:r>
        <w:rPr>
          <w:b/>
          <w:bCs/>
        </w:rPr>
        <w:t>Tổ chức thực hiện</w:t>
      </w:r>
      <w:bookmarkEnd w:id="10"/>
    </w:p>
    <w:p>
      <w:pPr>
        <w:pStyle w:val="Normal"/>
        <w:bidi w:val="0"/>
        <w:spacing w:before="120" w:after="280"/>
        <w:rPr/>
      </w:pPr>
      <w:r>
        <w:rPr/>
        <w:t>a) Ủy ban nhân dân các tỉnh, thành phố quan tâm chỉ đạo Sở Công Thương và cơ quan chức năng tại địa phương tổ chức triển khai nghiêm túc các nhiệm vụ, giải pháp nêu tại Chỉ thị này; tăng cường công tác quản lý nhà nước đối với hoạt động kinh doanh xăng dầu trên địa bàn, bảo đảm nguồn cung xăng dầu phục vụ sản xuất, kinh doanh và nhu cầu tiêu dùng của người dân; kịp thời thông báo về Bộ Công Thương những khó khăn, vướng mắc phát sinh trong quá trình thực hiện để được hướng dẫn, xử lý theo thẩm quyền;</w:t>
      </w:r>
    </w:p>
    <w:p>
      <w:pPr>
        <w:pStyle w:val="Normal"/>
        <w:bidi w:val="0"/>
        <w:spacing w:before="120" w:after="280"/>
        <w:rPr/>
      </w:pPr>
      <w:r>
        <w:rPr/>
        <w:t>b) Các đơn vị thuộc Bộ Công Thương theo chức năng, nhiệm vụ được giao chủ động phối hợp với Cục Quản lý và Phát triển thị trường trong nước, các bộ, ngành, địa phương và các doanh nghiệp liên quan trong việc triển khai thực hiện các nhiệm vụ, giải pháp bảo đảm nguồn cung xăng dầu cho thị trường trong nước;</w:t>
      </w:r>
    </w:p>
    <w:p>
      <w:pPr>
        <w:pStyle w:val="Normal"/>
        <w:bidi w:val="0"/>
        <w:spacing w:before="120" w:after="280"/>
        <w:rPr/>
      </w:pPr>
      <w:r>
        <w:rPr/>
        <w:t>c) Sở Công Thương các tỉnh, thành phố định kỳ hoặc đột xuất báo cáo Bộ Công Thương (qua Cục Quản lý và Phát triển thị trường trong nước) về tình hình cung ứng xăng dầu, hoạt động kinh doanh xăng dầu trên địa bàn và các khó khăn, vướng mắc phát sinh để kịp thời xem xét, xử lý theo thẩm quyền.</w:t>
      </w:r>
    </w:p>
    <w:p>
      <w:pPr>
        <w:pStyle w:val="Normal"/>
        <w:bidi w:val="0"/>
        <w:spacing w:before="120" w:after="280"/>
        <w:rPr/>
      </w:pPr>
      <w:r>
        <w:rPr/>
        <w:t>d) Các Tập đoàn, các thương nhân đầu mối sản xuất, kinh doanh, phân phối xăng dầu nỗ lực đảm bảo nguồn cung xăng dầu và tổ chức triển khai thực hiện nghiêm túc các nhiệm vụ, giải pháp đã cam kết với cơ quan quản lý nhà nước;</w:t>
      </w:r>
    </w:p>
    <w:p>
      <w:pPr>
        <w:pStyle w:val="Normal"/>
        <w:bidi w:val="0"/>
        <w:spacing w:before="120" w:after="280"/>
        <w:rPr/>
      </w:pPr>
      <w:r>
        <w:rPr/>
        <w:t>đ) Cục Quản lý và Phát triển thị trường trong nước có trách nhiệm theo dõi, đôn đốc, kiểm tra việc triển khai thực hiện Chỉ thị; chủ trì, phối hợp với các đơn vị liên quan tổng hợp tình hình cung - cầu, diễn biến thị trường xăng dầu trong nước và quốc tế, kịp thời báo cáo Bộ trưởng Bộ Công Thương để xem xét, chỉ đạo các giải pháp điều hành phù hợp trong từng thời điểm.</w:t>
      </w:r>
    </w:p>
    <w:p>
      <w:pPr>
        <w:pStyle w:val="Normal"/>
        <w:bidi w:val="0"/>
        <w:spacing w:before="120" w:after="280"/>
        <w:rPr/>
      </w:pPr>
      <w:r>
        <w:rPr/>
        <w:t>Trong quá trình triển khai thực hiện Chỉ thị, nếu phát sinh khó khăn, vướng mắc vượt thẩm quyền, các cơ quan, đơn vị, doanh nghiệp kịp thời báo cáo Bộ Công Thương (qua Cục Quản lý và Phát triển thị trường trong nước) để xem xét, hướng dẫn, giải quyết./.</w:t>
      </w:r>
    </w:p>
    <w:p>
      <w:pPr>
        <w:pStyle w:val="Normal"/>
        <w:bidi w:val="0"/>
        <w:spacing w:before="120" w:after="280"/>
        <w:rPr/>
      </w:pPr>
      <w:r>
        <w:rPr/>
        <w:t> </w:t>
      </w:r>
    </w:p>
    <w:tbl>
      <w:tblPr>
        <w:tblW w:w="8640" w:type="dxa"/>
        <w:jc w:val="start"/>
        <w:tblInd w:w="0" w:type="dxa"/>
        <w:tblLayout w:type="fixed"/>
        <w:tblCellMar>
          <w:top w:w="0" w:type="dxa"/>
          <w:start w:w="108" w:type="dxa"/>
          <w:bottom w:w="0" w:type="dxa"/>
          <w:end w:w="108" w:type="dxa"/>
        </w:tblCellMar>
      </w:tblPr>
      <w:tblGrid>
        <w:gridCol w:w="4300"/>
        <w:gridCol w:w="4340"/>
      </w:tblGrid>
      <w:tr>
        <w:trPr/>
        <w:tc>
          <w:tcPr>
            <w:tcW w:w="4300" w:type="dxa"/>
            <w:tcBorders/>
          </w:tcPr>
          <w:p>
            <w:pPr>
              <w:pStyle w:val="Normal"/>
              <w:bidi w:val="0"/>
              <w:spacing w:before="120" w:after="0"/>
              <w:rPr/>
            </w:pPr>
            <w:r>
              <w:rPr>
                <w:b/>
                <w:bCs/>
                <w:i/>
                <w:iCs/>
              </w:rPr>
              <w:br/>
              <w:t>Nơi nhận:</w:t>
              <w:br/>
            </w:r>
            <w:r>
              <w:rPr>
                <w:sz w:val="16"/>
              </w:rPr>
              <w:t>- Thủ tướng Chính phủ (để b/c);</w:t>
              <w:br/>
              <w:t>- Các Phó Thủ tướng Chính phủ (để b/c);</w:t>
              <w:br/>
              <w:t>- Lãnh đạo Bộ;</w:t>
              <w:br/>
              <w:t>- Văn phòng Chính phủ;</w:t>
              <w:br/>
              <w:t>- UBND các tỉnh, thành phố (để p/h);</w:t>
              <w:br/>
              <w:t>- Sở Công Thương các tỉnh, thành phố;</w:t>
              <w:br/>
              <w:t>- Các đơn vị thuộc Bộ; Hiệp hội Xăng dầu VN;</w:t>
              <w:br/>
              <w:t>- Các Tập đoàn: Công nghiệp - Năng lượng, Than Khoáng sản, Điện lực, Xăng dầu;</w:t>
              <w:br/>
              <w:t>- Các thương nhân đầu mối kinh doanh, sản xuất xăng dầu; Thương nhân phân phối xăng dầu;</w:t>
              <w:br/>
              <w:t>- Lưu: VT, TTTN (dunglvi).</w:t>
            </w:r>
          </w:p>
        </w:tc>
        <w:tc>
          <w:tcPr>
            <w:tcW w:w="4340" w:type="dxa"/>
            <w:tcBorders/>
          </w:tcPr>
          <w:p>
            <w:pPr>
              <w:pStyle w:val="Normal"/>
              <w:bidi w:val="0"/>
              <w:spacing w:before="120" w:after="0"/>
              <w:jc w:val="center"/>
              <w:rPr/>
            </w:pPr>
            <w:r>
              <w:rPr>
                <w:b/>
                <w:bCs/>
              </w:rPr>
              <w:t>Q. BỘ TRƯỞNG</w:t>
              <w:br/>
              <w:br/>
              <w:br/>
              <w:br/>
            </w:r>
            <w:r>
              <w:rPr/>
              <w:br/>
            </w:r>
            <w:r>
              <w:rPr>
                <w:b/>
                <w:bCs/>
              </w:rPr>
              <w:t>Lê Mạnh Hùng</w:t>
            </w:r>
          </w:p>
        </w:tc>
      </w:tr>
    </w:tbl>
    <w:p>
      <w:pPr>
        <w:pStyle w:val="Normal"/>
        <w:bidi w:val="0"/>
        <w:spacing w:before="120" w:after="280"/>
        <w:rPr/>
      </w:pPr>
      <w:r>
        <w:rPr/>
        <w:t> </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Times New Roman">
    <w:charset w:val="00" w:characterSet="windows-1252"/>
    <w:family w:val="roman"/>
    <w:pitch w:val="default"/>
  </w:font>
  <w:font w:name="Liberation Sans">
    <w:altName w:val="Arial"/>
    <w:charset w:val="00" w:characterSet="windows-1252"/>
    <w:family w:val="swiss"/>
    <w:pitch w:val="variable"/>
  </w:font>
  <w:font w:name="Arial">
    <w:charset w:val="00" w:characterSet="windows-1252"/>
    <w:family w:val="swiss"/>
    <w:pitch w:val="default"/>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eastAsia="zh-CN" w:bidi="hi-IN"/>
    </w:rPr>
  </w:style>
  <w:style w:type="character" w:styleId="DefaultParagraphFont">
    <w:name w:val="Default Paragraph Font"/>
    <w:qForma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luatvietnam.vn/hanh-chinh/nghi-quyet-36-nq-cp-2026-phien-hop-chinh-phu-thuong-ky-thang-02-427754-d1.html" TargetMode="External"/><Relationship Id="rId3" Type="http://schemas.openxmlformats.org/officeDocument/2006/relationships/hyperlink" Target="https://luatvietnam.vn/thuong-mai/nghi-dinh-83-2014-nd-cp-ve-kinh-doanh-xang-dau-89230-d1.html" TargetMode="External"/><Relationship Id="rId4" Type="http://schemas.openxmlformats.org/officeDocument/2006/relationships/hyperlink" Target="https://luatvietnam.vn/cong-nghiep/nghi-dinh-95-2021-nd-cp-sua-doi-bo-sung-nghi-dinh-83-2014-nd-cp-ve-kinh-doanh-xang-dau-211890-d1.html" TargetMode="External"/><Relationship Id="rId5" Type="http://schemas.openxmlformats.org/officeDocument/2006/relationships/hyperlink" Target="https://luatvietnam.vn/cong-nghiep/nghi-dinh-80-2023-nd-cp-sua-doi-nghi-dinh-95-2021-nd-cp-ve-kinh-doanh-xang-dau-277329-d1.html" TargetMode="External"/><Relationship Id="rId6" Type="http://schemas.openxmlformats.org/officeDocument/2006/relationships/hyperlink" Target="https://luatvietnam.vn/thuong-mai/thong-tu-43-2015-tt-bct-ty-le-hao-hut-xang-dau-101263-d1.html" TargetMode="External"/><Relationship Id="rId7" Type="http://schemas.openxmlformats.org/officeDocument/2006/relationships/hyperlink" Target="https://luatvietnam.vn/cong-nghiep/chi-thi-04-ct-bct-2026-trien-khai-giai-phap-bao-dam-cung-cap-dien-cao-diem-2026-2030-426761-d1.html" TargetMode="Externa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LibreOffice/26.2.1.2$Windows_X86_64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