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5149"/>
        <w:gridCol w:w="4823"/>
      </w:tblGrid>
      <w:tr>
        <w:trPr/>
        <w:tc>
          <w:tcPr>
            <w:tcW w:w="5149" w:type="dxa"/>
            <w:tcBorders/>
          </w:tcPr>
          <w:p>
            <w:pPr>
              <w:pStyle w:val="Normal"/>
              <w:bidi w:val="0"/>
              <w:spacing w:before="120" w:after="0"/>
              <w:jc w:val="center"/>
              <w:rPr/>
            </w:pPr>
            <w:r>
              <w:rPr>
                <w:b/>
                <w:bCs/>
              </w:rPr>
              <w:t>BAN CHẤP HÀNH TRUNG ƯƠNG</w:t>
              <w:br/>
              <w:t>*</w:t>
            </w:r>
          </w:p>
        </w:tc>
        <w:tc>
          <w:tcPr>
            <w:tcW w:w="4823" w:type="dxa"/>
            <w:tcBorders/>
          </w:tcPr>
          <w:p>
            <w:pPr>
              <w:pStyle w:val="Normal"/>
              <w:bidi w:val="0"/>
              <w:spacing w:before="120" w:after="0"/>
              <w:jc w:val="center"/>
              <w:rPr/>
            </w:pPr>
            <w:r>
              <w:rPr>
                <w:b/>
                <w:bCs/>
              </w:rPr>
              <w:t>ĐẢNG CỘNG SẢN VIỆT NAM</w:t>
              <w:br/>
              <w:t>---------------</w:t>
            </w:r>
          </w:p>
        </w:tc>
      </w:tr>
      <w:tr>
        <w:trPr/>
        <w:tc>
          <w:tcPr>
            <w:tcW w:w="5149" w:type="dxa"/>
            <w:tcBorders/>
          </w:tcPr>
          <w:p>
            <w:pPr>
              <w:pStyle w:val="Normal"/>
              <w:bidi w:val="0"/>
              <w:spacing w:before="120" w:after="0"/>
              <w:jc w:val="center"/>
              <w:rPr/>
            </w:pPr>
            <w:r>
              <w:rPr/>
              <w:t>Số 10-QĐ/TW</w:t>
            </w:r>
          </w:p>
        </w:tc>
        <w:tc>
          <w:tcPr>
            <w:tcW w:w="4823" w:type="dxa"/>
            <w:tcBorders/>
          </w:tcPr>
          <w:p>
            <w:pPr>
              <w:pStyle w:val="Normal"/>
              <w:bidi w:val="0"/>
              <w:spacing w:before="120" w:after="0"/>
              <w:jc w:val="end"/>
              <w:rPr/>
            </w:pPr>
            <w:r>
              <w:rPr>
                <w:i/>
                <w:iCs/>
              </w:rPr>
              <w:t xml:space="preserve">Hà Nội, ngày 06 tháng 3 năm 2026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THÀNH LẬP HỘI ĐỒNG LÝ LUẬN TRUNG ƯƠNG</w:t>
      </w:r>
      <w:bookmarkEnd w:id="1"/>
    </w:p>
    <w:p>
      <w:pPr>
        <w:pStyle w:val="Normal"/>
        <w:bidi w:val="0"/>
        <w:spacing w:before="120" w:after="280"/>
        <w:rPr/>
      </w:pPr>
      <w:r>
        <w:rPr/>
        <w:t>- Căn cứ Điều lệ Đảng;</w:t>
      </w:r>
    </w:p>
    <w:p>
      <w:pPr>
        <w:pStyle w:val="Normal"/>
        <w:bidi w:val="0"/>
        <w:spacing w:before="120" w:after="280"/>
        <w:rPr/>
      </w:pPr>
      <w:r>
        <w:rPr/>
        <w:t>- Căn cứ Quy chế làm việc của Ban Chấp hành Trung ương, Bộ Chính trị và Ban Bí thư khoá XIII;</w:t>
      </w:r>
    </w:p>
    <w:p>
      <w:pPr>
        <w:pStyle w:val="Normal"/>
        <w:bidi w:val="0"/>
        <w:spacing w:before="120" w:after="280"/>
        <w:rPr/>
      </w:pPr>
      <w:r>
        <w:rPr/>
        <w:t>- Xét yêu cầu công tác và năng lực của cán bộ;</w:t>
      </w:r>
    </w:p>
    <w:p>
      <w:pPr>
        <w:pStyle w:val="Normal"/>
        <w:bidi w:val="0"/>
        <w:spacing w:before="120" w:after="280"/>
        <w:rPr/>
      </w:pPr>
      <w:r>
        <w:rPr/>
        <w:t>- Theo đề nghị của Học viện Chính trị quốc gia Hồ Chí Minh và Ban Tổ chức Trung ương,</w:t>
      </w:r>
    </w:p>
    <w:p>
      <w:pPr>
        <w:pStyle w:val="Normal"/>
        <w:bidi w:val="0"/>
        <w:spacing w:before="120" w:after="280"/>
        <w:jc w:val="center"/>
        <w:rPr>
          <w:b/>
          <w:bCs/>
          <w:sz w:val="24"/>
        </w:rPr>
      </w:pPr>
      <w:r>
        <w:rPr>
          <w:b/>
          <w:bCs/>
          <w:sz w:val="24"/>
        </w:rPr>
        <w:t>BỘ CHÍNH TRỊ QUYẾT ĐỊNH</w:t>
      </w:r>
    </w:p>
    <w:p>
      <w:pPr>
        <w:pStyle w:val="Normal"/>
        <w:bidi w:val="0"/>
        <w:spacing w:before="120" w:after="280"/>
        <w:rPr/>
      </w:pPr>
      <w:bookmarkStart w:id="2" w:name="dieu_1"/>
      <w:r>
        <w:rPr>
          <w:b/>
          <w:bCs/>
        </w:rPr>
        <w:t>Điều 1.</w:t>
      </w:r>
      <w:r>
        <w:rPr/>
        <w:t xml:space="preserve"> Thành lập Hội đồng Lý luận Trung ương nhiệm kỳ 2026 - 2031.</w:t>
      </w:r>
      <w:bookmarkEnd w:id="2"/>
    </w:p>
    <w:p>
      <w:pPr>
        <w:pStyle w:val="Normal"/>
        <w:bidi w:val="0"/>
        <w:spacing w:before="120" w:after="280"/>
        <w:rPr/>
      </w:pPr>
      <w:bookmarkStart w:id="3" w:name="dieu_2"/>
      <w:r>
        <w:rPr>
          <w:b/>
          <w:bCs/>
        </w:rPr>
        <w:t>Điều 2.</w:t>
      </w:r>
      <w:r>
        <w:rPr/>
        <w:t xml:space="preserve"> Hội đồng Lý luận Trung ương có chức năng, nhiệm vụ sau đây:</w:t>
      </w:r>
      <w:bookmarkEnd w:id="3"/>
    </w:p>
    <w:p>
      <w:pPr>
        <w:pStyle w:val="Normal"/>
        <w:bidi w:val="0"/>
        <w:spacing w:before="120" w:after="280"/>
        <w:rPr/>
      </w:pPr>
      <w:r>
        <w:rPr/>
        <w:t>- Là cơ quan thuộc Học viện Chính trị quốc gia Hồ Chí Minh, có chức năng giúp Học viện Chính trị quốc gia Hồ Chí Minh làm nhiệm vụ tư vấn cho Ban Chấp hành Trung ương Đảng Cộng sản Việt Nam, trực tiếp là Bộ Chính trị, Ban Bí thư về các vấn đề lý luận chính trị, làm cơ sở cho việc hoạch định, hoàn thiện, phát triển đường lối của Đảng, về những chương trình, đề tài, đề án khoa học cấp nhà nước về lý luận chính trị, phục vụ trực tiếp công tác lãnh đạo của Đảng.</w:t>
      </w:r>
    </w:p>
    <w:p>
      <w:pPr>
        <w:pStyle w:val="Normal"/>
        <w:bidi w:val="0"/>
        <w:spacing w:before="120" w:after="280"/>
        <w:rPr/>
      </w:pPr>
      <w:r>
        <w:rPr/>
        <w:t>- Hội đồng Lý luận Trung ương có nhiệm vụ trực tiếp thực hiện một số chương trình, dự án nghiên cứu khoa học do Bộ Chính trị, Ban Bí thư giao cho Học viện Chính trị quốc gia Hồ Chí Minh hoặc do Học viện Chính trị quốc gia Hồ Chí Minh đề xuất được Bộ Chính trị, Ban Bí thư chấp nhận; đồng thời thực hiện chức năng tư vấn của Hội đồng thông qua Học viện Chính trị quốc gia Hồ Chí Minh và thực hiện một số nhiệm vụ khác do Bộ Chính trị, Ban Bí thư giao.</w:t>
      </w:r>
    </w:p>
    <w:p>
      <w:pPr>
        <w:pStyle w:val="Normal"/>
        <w:bidi w:val="0"/>
        <w:spacing w:before="120" w:after="280"/>
        <w:rPr/>
      </w:pPr>
      <w:r>
        <w:rPr/>
        <w:t>- Giúp Học viện Chính trị quốc gia Hồ Chí Minh thẩm định những vấn đề mà các ngành, các cấp, các địa phương trình Ban Chấp hành Trung ương Đảng, Bộ Chính trị, Ban Bí thư có liên quan đến chức năng, nhiệm vụ của Hội đồng Lý luận Trung ương.</w:t>
      </w:r>
    </w:p>
    <w:p>
      <w:pPr>
        <w:pStyle w:val="Normal"/>
        <w:bidi w:val="0"/>
        <w:spacing w:before="120" w:after="280"/>
        <w:rPr/>
      </w:pPr>
      <w:r>
        <w:rPr/>
        <w:t>- Tham mưu cho Học viện Chính trị quốc gia Hồ Chí Minh nghiên cứu, đề xuất những luận cứ về lý luận đấu tranh và trực tiếp tham gia đấu tranh, phản bác những quan điểm sai trái với quan điểm, chủ trương, đường lối của Đảng.</w:t>
      </w:r>
    </w:p>
    <w:p>
      <w:pPr>
        <w:pStyle w:val="Normal"/>
        <w:bidi w:val="0"/>
        <w:spacing w:before="120" w:after="280"/>
        <w:rPr/>
      </w:pPr>
      <w:r>
        <w:rPr/>
        <w:t>- Giúp Học viện Chính trị quốc gia Hồ Chí Minh duy trì và củng cố mối quan hệ về công tác nghiên cứu, trao đổi lý luận với các cơ quan nghiên cứu của các đảng cộng sản và đảng cầm quyền trên thế giới.</w:t>
      </w:r>
    </w:p>
    <w:p>
      <w:pPr>
        <w:pStyle w:val="Normal"/>
        <w:bidi w:val="0"/>
        <w:spacing w:before="120" w:after="280"/>
        <w:rPr/>
      </w:pPr>
      <w:bookmarkStart w:id="4" w:name="dieu_3"/>
      <w:r>
        <w:rPr>
          <w:b/>
          <w:bCs/>
        </w:rPr>
        <w:t>Điều 3.</w:t>
      </w:r>
      <w:r>
        <w:rPr/>
        <w:t xml:space="preserve"> Thường trực Hội đồng Lý luận Trung ương do Bộ Chính trị quyết định theo nhiệm kỳ Đại hội đại biểu toàn quốc của Đảng.</w:t>
      </w:r>
      <w:bookmarkEnd w:id="4"/>
    </w:p>
    <w:p>
      <w:pPr>
        <w:pStyle w:val="Normal"/>
        <w:bidi w:val="0"/>
        <w:spacing w:before="120" w:after="280"/>
        <w:rPr/>
      </w:pPr>
      <w:r>
        <w:rPr/>
        <w:t>- Thành viên của Hội đồng Lý luận Trung ương do Học viện Chính trị quốc gia Hồ Chí Minh phối hợp với Ban Tổ chức Trung ương chuẩn bị, trình Ban Bí thư xem xét, quyết định.</w:t>
      </w:r>
    </w:p>
    <w:p>
      <w:pPr>
        <w:pStyle w:val="Normal"/>
        <w:bidi w:val="0"/>
        <w:spacing w:before="120" w:after="280"/>
        <w:rPr/>
      </w:pPr>
      <w:r>
        <w:rPr/>
        <w:t>- Bộ phận tham mưu, giúp việc của Hội đồng Lý luận Trung ương: Giao Học viện Chính trị quốc gia Hồ Chí Minh bố trí bộ máy tham mưu, giúp việc, đội ngũ cán bộ, cơ sở vật chất và các điều kiện cần thiết để hoạt động.</w:t>
      </w:r>
    </w:p>
    <w:p>
      <w:pPr>
        <w:pStyle w:val="Normal"/>
        <w:bidi w:val="0"/>
        <w:spacing w:before="120" w:after="280"/>
        <w:rPr/>
      </w:pPr>
      <w:r>
        <w:rPr/>
        <w:t>- Hội đồng Lý luận Trung ương được sử dụng các cơ quan chuyên môn của Học viện Chính trị quốc gia Hồ Chí Minh để thực hiện các chức năng, nhiệm vụ do Bộ Chính trị, Ban Bí thư giao.</w:t>
      </w:r>
    </w:p>
    <w:p>
      <w:pPr>
        <w:pStyle w:val="Normal"/>
        <w:bidi w:val="0"/>
        <w:spacing w:before="120" w:after="280"/>
        <w:rPr/>
      </w:pPr>
      <w:bookmarkStart w:id="5" w:name="dieu_4"/>
      <w:r>
        <w:rPr>
          <w:b/>
          <w:bCs/>
        </w:rPr>
        <w:t>Điều 4.</w:t>
      </w:r>
      <w:r>
        <w:rPr/>
        <w:t xml:space="preserve"> Thành phần Hội đồng Lý luận Trung ương, gồm:</w:t>
      </w:r>
      <w:bookmarkEnd w:id="5"/>
    </w:p>
    <w:p>
      <w:pPr>
        <w:pStyle w:val="Normal"/>
        <w:bidi w:val="0"/>
        <w:spacing w:before="120" w:after="280"/>
        <w:rPr/>
      </w:pPr>
      <w:r>
        <w:rPr/>
        <w:t>- Chủ tịch Hội đồng.</w:t>
      </w:r>
    </w:p>
    <w:p>
      <w:pPr>
        <w:pStyle w:val="Normal"/>
        <w:bidi w:val="0"/>
        <w:spacing w:before="120" w:after="280"/>
        <w:rPr/>
      </w:pPr>
      <w:r>
        <w:rPr/>
        <w:t>- Các Phó Chủ tịch Hội đồng, trong đó có 1 Phó Chủ tịch thường trực, 1 Phó Chủ tịch kiêm Tổng Thư ký và các Phó Chủ tịch.</w:t>
      </w:r>
    </w:p>
    <w:p>
      <w:pPr>
        <w:pStyle w:val="Normal"/>
        <w:bidi w:val="0"/>
        <w:spacing w:before="120" w:after="280"/>
        <w:rPr/>
      </w:pPr>
      <w:r>
        <w:rPr/>
        <w:t>- Các Ủy viên Hội đồng.</w:t>
      </w:r>
    </w:p>
    <w:p>
      <w:pPr>
        <w:pStyle w:val="Normal"/>
        <w:bidi w:val="0"/>
        <w:spacing w:before="120" w:after="280"/>
        <w:rPr/>
      </w:pPr>
      <w:bookmarkStart w:id="6" w:name="dieu_5"/>
      <w:r>
        <w:rPr>
          <w:b/>
          <w:bCs/>
        </w:rPr>
        <w:t>Điều 5.</w:t>
      </w:r>
      <w:r>
        <w:rPr/>
        <w:t xml:space="preserve"> Cơ quan Hội đồng Lý luận Trung ương đặt tại Học viện Chính trị quốc gia Hồ Chí Minh; có con dấu và kinh phí hoạt động do Học viện Chính trị quốc gia Hồ Chí Minh bố trí từ nguồn cấp của Trung ương.</w:t>
      </w:r>
      <w:bookmarkEnd w:id="6"/>
    </w:p>
    <w:p>
      <w:pPr>
        <w:pStyle w:val="Normal"/>
        <w:bidi w:val="0"/>
        <w:spacing w:before="120" w:after="280"/>
        <w:rPr/>
      </w:pPr>
      <w:bookmarkStart w:id="7" w:name="dieu_6"/>
      <w:r>
        <w:rPr>
          <w:b/>
          <w:bCs/>
        </w:rPr>
        <w:t>Điều 6.</w:t>
      </w:r>
      <w:r>
        <w:rPr/>
        <w:t xml:space="preserve"> Quyết định này thay Quyết định số 26-QĐ/TW, ngày 06/8/2021 của Bộ Chính trị khoá XIII về thành lập Hội đồng Lý luận Trung ương.</w:t>
      </w:r>
      <w:bookmarkEnd w:id="7"/>
    </w:p>
    <w:p>
      <w:pPr>
        <w:pStyle w:val="Normal"/>
        <w:bidi w:val="0"/>
        <w:spacing w:before="120" w:after="280"/>
        <w:rPr/>
      </w:pPr>
      <w:bookmarkStart w:id="8" w:name="dieu_7"/>
      <w:r>
        <w:rPr>
          <w:b/>
          <w:bCs/>
        </w:rPr>
        <w:t>Điều 7.</w:t>
      </w:r>
      <w:r>
        <w:rPr/>
        <w:t xml:space="preserve"> Học viện Chính trị quốc gia Hồ Chí Minh, Ban Tổ chức Trung ương, Hội đồng Lý luận Trung ương, các ban đảng, tỉnh ủy, thành ủy và đảng ủy trực thuộc Trung ương chịu trách nhiệm thi hành Quyết định này.</w:t>
      </w:r>
      <w:bookmarkEnd w:id="8"/>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11"/>
        <w:gridCol w:w="4329"/>
      </w:tblGrid>
      <w:tr>
        <w:trPr/>
        <w:tc>
          <w:tcPr>
            <w:tcW w:w="4311" w:type="dxa"/>
            <w:tcBorders/>
          </w:tcPr>
          <w:p>
            <w:pPr>
              <w:pStyle w:val="Normal"/>
              <w:bidi w:val="0"/>
              <w:spacing w:before="120" w:after="0"/>
              <w:rPr/>
            </w:pPr>
            <w:r>
              <w:rPr>
                <w:b/>
                <w:bCs/>
                <w:i/>
                <w:iCs/>
              </w:rPr>
              <w:br/>
            </w:r>
            <w:r>
              <w:rPr>
                <w:u w:val="single"/>
              </w:rPr>
              <w:t>Nơi nhận:</w:t>
            </w:r>
            <w:r>
              <w:rPr>
                <w:b/>
                <w:bCs/>
                <w:i/>
                <w:iCs/>
              </w:rPr>
              <w:br/>
            </w:r>
            <w:r>
              <w:rPr/>
              <w:t>- Như Điều 7,</w:t>
              <w:br/>
              <w:t>- Lưu Văn phòng Trung ương Đảng.</w:t>
            </w:r>
          </w:p>
        </w:tc>
        <w:tc>
          <w:tcPr>
            <w:tcW w:w="4329" w:type="dxa"/>
            <w:tcBorders/>
          </w:tcPr>
          <w:p>
            <w:pPr>
              <w:pStyle w:val="Normal"/>
              <w:bidi w:val="0"/>
              <w:spacing w:before="120" w:after="0"/>
              <w:jc w:val="center"/>
              <w:rPr>
                <w:b/>
                <w:bCs/>
              </w:rPr>
            </w:pPr>
            <w:r>
              <w:rPr>
                <w:b/>
                <w:bCs/>
              </w:rPr>
              <w:t>T/M BỘ CHÍNH TRỊ</w:t>
              <w:br/>
              <w:br/>
              <w:br/>
              <w:br/>
              <w:br/>
              <w:t>Trần Cẩm Tú</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