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VĂN PHÒNG CHÍNH PHỦ</w:t>
              <w:br/>
              <w:t>-------</w:t>
            </w:r>
          </w:p>
        </w:tc>
        <w:tc>
          <w:tcPr>
            <w:tcW w:w="6203"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769" w:type="dxa"/>
            <w:tcBorders/>
          </w:tcPr>
          <w:p>
            <w:pPr>
              <w:pStyle w:val="Normal"/>
              <w:bidi w:val="0"/>
              <w:spacing w:before="120" w:after="0"/>
              <w:jc w:val="center"/>
              <w:rPr/>
            </w:pPr>
            <w:r>
              <w:rPr/>
              <w:t>Số: 101/TB-VPCP</w:t>
            </w:r>
          </w:p>
        </w:tc>
        <w:tc>
          <w:tcPr>
            <w:tcW w:w="6203" w:type="dxa"/>
            <w:tcBorders/>
          </w:tcPr>
          <w:p>
            <w:pPr>
              <w:pStyle w:val="Normal"/>
              <w:bidi w:val="0"/>
              <w:spacing w:before="120" w:after="0"/>
              <w:jc w:val="end"/>
              <w:rPr/>
            </w:pPr>
            <w:r>
              <w:rPr>
                <w:i/>
                <w:iCs/>
              </w:rPr>
              <w:t>Hà Nội, ngày 05 tháng 3 năm 2026</w:t>
            </w:r>
          </w:p>
        </w:tc>
      </w:tr>
    </w:tbl>
    <w:p>
      <w:pPr>
        <w:pStyle w:val="Normal"/>
        <w:bidi w:val="0"/>
        <w:spacing w:before="120" w:after="280"/>
        <w:rPr>
          <w:i/>
          <w:iCs/>
        </w:rPr>
      </w:pPr>
      <w:r>
        <w:rPr>
          <w:i/>
          <w:iCs/>
        </w:rPr>
        <w:t> </w:t>
      </w:r>
    </w:p>
    <w:p>
      <w:pPr>
        <w:pStyle w:val="Normal"/>
        <w:bidi w:val="0"/>
        <w:spacing w:before="120" w:after="280"/>
        <w:jc w:val="center"/>
        <w:rPr>
          <w:b/>
          <w:bCs/>
          <w:sz w:val="24"/>
        </w:rPr>
      </w:pPr>
      <w:bookmarkStart w:id="0" w:name="loai_1"/>
      <w:r>
        <w:rPr>
          <w:b/>
          <w:bCs/>
          <w:sz w:val="24"/>
        </w:rPr>
        <w:t>THÔNG BÁO</w:t>
      </w:r>
      <w:bookmarkEnd w:id="0"/>
    </w:p>
    <w:p>
      <w:pPr>
        <w:pStyle w:val="Normal"/>
        <w:bidi w:val="0"/>
        <w:spacing w:before="120" w:after="280"/>
        <w:jc w:val="center"/>
        <w:rPr/>
      </w:pPr>
      <w:r>
        <w:rPr/>
        <w:t>KẾT LUẬN CỦA CỦA PHÓ THỦ TƯỚNG HỒ ĐỨC PHỚC - TRƯỞNG BAN CHỈ ĐẠO ĐIỀU HÀNH GIÁ TẠI CUỘC HỌP BAN CHỈ ĐẠO VỀ KẾT QUẢ CÔNG TÁC QUẢN LÝ, ĐIỀU HÀNH GIÁ QUÝ IV VÀ CẢ NĂM 2025, ĐỊNH HƯỚNG CÔNG TÁC ĐIỀU HÀNH GIÁ NĂM 2026</w:t>
      </w:r>
    </w:p>
    <w:p>
      <w:pPr>
        <w:pStyle w:val="Normal"/>
        <w:bidi w:val="0"/>
        <w:spacing w:before="120" w:after="280"/>
        <w:rPr/>
      </w:pPr>
      <w:r>
        <w:rPr/>
        <w:t>Ngày 26 tháng 02 năm 2026, tại Trụ sở Chính phủ, Phó Thủ tướng Chính phủ Hồ Đức Phớc - Trưởng Ban Chỉ đạo điều hành giá (Ban Chỉ đạo) đã chủ trì cuộc họp Ban Chỉ đạo về kết quả công tác quản lý, điều hành giá Quý IV và cả năm 2025, định hướng công tác điều hành giá năm 2026. Tham dự cuộc họp có thành viên Ban Chỉ đạo; đại diện thành viên Ban Chỉ đạo; lãnh đạo Cục Thống kê. Sau khi nghe báo cáo của Bộ Tài chính, ý kiến của các đại biểu dự họp, Phó Thủ tướng Chính phủ Hồ Đức Phớc - Trưởng Ban Chỉ đạo kết luận như sau:</w:t>
      </w:r>
    </w:p>
    <w:p>
      <w:pPr>
        <w:pStyle w:val="Normal"/>
        <w:bidi w:val="0"/>
        <w:spacing w:before="120" w:after="280"/>
        <w:rPr/>
      </w:pPr>
      <w:r>
        <w:rPr/>
        <w:t>1. Trong năm 2025, kinh tế thế giới tiếp tục đối mặt với nhiều thách thức. Cạnh tranh chiến lược giữa các cường quốc ngày càng gay gắt trên các lĩnh vực chính trị, kinh tế, công nghệ và thương mại. Chủ nghĩa bảo hộ gia tăng cùng xu hướng dịch chuyển sản xuất và dòng vốn đầu tư trở lại các nước phát triển. Bên cạnh đó, yếu tố bất ổn chính trị vẫn tiếp tục kéo dài với các cuộc xung đột quân sự gia tăng đã gây ảnh hưởng đến ổn định khu vực và kinh tế toàn cầu. Sự dịch chuyển từ chủ nghĩa đa phương sang chủ nghĩa đơn phương được thể hiện rõ qua chính sách thuế đối ứng của Hoa Kỳ. Trước bất ổn kinh tế - chính trị toàn cầu, dòng vốn đầu tư chuyển mạnh sang tài sản trú ẩn an toàn, đẩy giá kim loại quý như vàng và bạc tăng cao, Ngược lại, giá dầu thô giảm xuống mức thấp nhất trong 4 năm qua do nhu cầu suy yếu và nguồn cung từ OPEC+ gia tăng. Đồng USD suy yếu do chính sách nới lỏng tiền tệ của Mỹ và xu hướng đa dạng hóa dự trữ ngoại hối. Lạm phát toàn cầu năm 2025 nhìn chung giảm hoặc đi ngang, phản ánh áp lực giá đã hạ nhiệt.</w:t>
      </w:r>
    </w:p>
    <w:p>
      <w:pPr>
        <w:pStyle w:val="Normal"/>
        <w:bidi w:val="0"/>
        <w:spacing w:before="120" w:after="280"/>
        <w:rPr/>
      </w:pPr>
      <w:r>
        <w:rPr/>
        <w:t>Diễn biến giá cả thị trường trong nước cơ bản tuân theo quy luật hàng năm. Mặt bằng giá tăng cao vào dịp Tết sau đó giảm trở lại cuối quý I và chỉ tăng nhẹ trong các quý tiếp theo. Lạm phát năm 2025 trong phạm vi mục tiêu do Quốc hội và Chính phủ đề ra. Chỉ số giá tiêu dùng bình quân năm 2025 tăng 3,31% so với năm 2024 trong đó có tác động từ việc điều chỉnh giá một số mặt hàng Nhà nước quản lý như dịch vụ y tế, dịch vụ giáo dục đại học, giá điện; ngoài ra còn có tác động của yếu tố thời vụ do giá một số nhóm hàng tăng vào dịp Tết, giá một số vật liệu xây dựng có nguồn cung hạn chế như cát, đá tăng cao do nhu cầu xây dựng các công trình trọng điểm; thiên tai bão lũ, lụt diễn biến phức tạp đẩy giá một số mặt hàng thực phẩm tăng cục bộ tại địa phương bị ảnh hưởng... Trong giai đoạn trước và trong Tết Nguyên đán Bính Ngọ 2026, thị trường cả nước duy trì trạng thái ổn định, cung - cầu được bảo đảm, không ghi nhận hiện tượng khan hiếm hàng hóa hay tăng giá đột biến đối với các mặt hàng thiết yếu nhờ nguồn cung ổn định, người dân có xu hướng chi tiêu tiết kiệm, hợp lý.</w:t>
      </w:r>
    </w:p>
    <w:p>
      <w:pPr>
        <w:pStyle w:val="Normal"/>
        <w:bidi w:val="0"/>
        <w:spacing w:before="120" w:after="280"/>
        <w:rPr/>
      </w:pPr>
      <w:r>
        <w:rPr/>
        <w:t>Công tác quản lý, điều hành giá trong năm 2025 đạt mục tiêu đề ra, góp phần kiểm soát lạm phát, hỗ trợ đời sống người dân và hoạt động sản xuất kinh doanh của doanh nghiệp với nhiều giải pháp được triển khai kịp thời như đảm bảo nguồn cung hàng hóa, dịch vụ thiết yếu đáp ứng nhu cầu tiêu dùng của nhân dân nhất là trong các thời điểm thị trường có nhu cầu tăng cao vào dịp lễ, Tết; xuất cấp kịp thời hàng dự trữ quốc gia để hỗ trợ, cứu trợ người dân bị thiệt hại do bão lũ, đẩy mạnh khôi phục sản xuất nông nghiệp; điều hành thận trọng giá các mặt hàng do Nhà nước định giá; tiếp tục thực hiện nhiều chính sách giảm, gia hạn, miễn thuế, phí, lệ phí, tiền thuê đất hỗ trợ người dân và doanh nghiệp; điều hành chính sách tiền tệ chủ động, linh hoạt...</w:t>
      </w:r>
    </w:p>
    <w:p>
      <w:pPr>
        <w:pStyle w:val="Normal"/>
        <w:bidi w:val="0"/>
        <w:spacing w:before="120" w:after="280"/>
        <w:rPr/>
      </w:pPr>
      <w:r>
        <w:rPr/>
        <w:t>2. Trong năm 2026, dự báo kinh tế thế giới tiếp tục diễn biến phức tạp như xung đột quân sự tiếp tục căng thẳng, chính sách thuế đối ứng của Hoa Kỳ thay đổi khó dự đoán... từ đó có thể dẫn đến biến động khó lường của giá một số mặt hàng chiến lược và ảnh hưởng đến mặt bằng giá trong nước. Năm 2026 là năm đầu thực hiện Kế hoạch phát triển kinh tế - xã hội 5 năm 2026 - 2030, nhu cầu sử dụng điện, vật tư, nguyên liệu phục vụ sản xuất, kinh doanh và tiêu dùng được dự báo tăng; cùng với những biến động phức tạp từ tình hình kinh tế thế giới có thể tạo áp lực nhất định lên chỉ số giá tiêu dùng trong nước. Trong bối cảnh đó, để thực hiện mục tiêu tăng trưởng kinh tế hai con số, việc duy trì ổn định kinh tế vĩ mô, đặc biệt là kiểm soát lạm phát thông qua công tác quản lý và điều hành giá hiệu quả có vai trò quan trọng, tạo nền tảng cho nền kinh tế vận hành thuận lợi, hỗ trợ cho hoạt động sản xuất kinh doanh, ổn định đời sống người dân và củng cố niềm tin của nhà đầu tư.</w:t>
      </w:r>
    </w:p>
    <w:p>
      <w:pPr>
        <w:pStyle w:val="Normal"/>
        <w:bidi w:val="0"/>
        <w:spacing w:before="120" w:after="280"/>
        <w:rPr/>
      </w:pPr>
      <w:r>
        <w:rPr/>
        <w:t>Các Bộ, ngành, địa phương theo chức năng, nhiệm vụ được giao chủ động triển khai kịp thời, hiệu quả các nhiệm vụ, giải pháp đặt ra tại các Nghị quyết của Chính phủ, các văn bản chỉ đạo của Thủ tướng Chính phủ, Phó Thủ tướng Chính phủ - Trưởng ban Chỉ đạo điều hành giá trong đó tập trung vào những biện pháp sau:</w:t>
      </w:r>
    </w:p>
    <w:p>
      <w:pPr>
        <w:pStyle w:val="Normal"/>
        <w:bidi w:val="0"/>
        <w:spacing w:before="120" w:after="280"/>
        <w:rPr/>
      </w:pPr>
      <w:r>
        <w:rPr/>
        <w:t>a) Chủ động và linh hoạt trong quản lý, điều hành giá</w:t>
      </w:r>
    </w:p>
    <w:p>
      <w:pPr>
        <w:pStyle w:val="Normal"/>
        <w:bidi w:val="0"/>
        <w:spacing w:before="120" w:after="280"/>
        <w:rPr/>
      </w:pPr>
      <w:r>
        <w:rPr/>
        <w:t>- Chú trọng theo dõi sát diễn biến kinh tế và lạm phát thế giới, những điều chỉnh chính sách kinh tế của các nước lớn đặc biệt là các đối tác thương mại chính của Việt Nam, tác động từ chính sách thuế đối ứng của Hoa Kỳ và chính sách thuế quan của Liên minh Châu Âu (EU)... để đưa ra các giải pháp ứng phó phù hợp nhằm hạn chế tác động tiêu cực lên mặt bằng giá trong nước.</w:t>
      </w:r>
    </w:p>
    <w:p>
      <w:pPr>
        <w:pStyle w:val="Normal"/>
        <w:bidi w:val="0"/>
        <w:spacing w:before="120" w:after="280"/>
        <w:rPr/>
      </w:pPr>
      <w:r>
        <w:rPr/>
        <w:t>- Giám sát chặt chẽ biến động giá cả thị trường trong nước nhất là với những hàng hóa, dịch vụ tiêu dùng thiết yếu và các nguyên liệu đầu vào quan trọng phục vụ sản xuất; chủ động và linh hoạt có các biện pháp điều tiết cung cầu và bình ổn thị trường nhằm đảm bảo sản xuất, đáp ứng nhu cầu của xã hội, không để xảy ra thiếu hàng, sốt giá, bảo đảm an sinh xã hội.</w:t>
      </w:r>
    </w:p>
    <w:p>
      <w:pPr>
        <w:pStyle w:val="Normal"/>
        <w:bidi w:val="0"/>
        <w:spacing w:before="120" w:after="280"/>
        <w:rPr/>
      </w:pPr>
      <w:r>
        <w:rPr/>
        <w:t>- Tiếp tục bảo đảm cân đối cung - cầu đối với các nhóm hàng thiết yếu như lương thực, thực phẩm, nhiên liệu xăng dầu, điện, nguyên liệu đầu vào cho sản xuất và thị trường bất động sản.</w:t>
      </w:r>
    </w:p>
    <w:p>
      <w:pPr>
        <w:pStyle w:val="Normal"/>
        <w:bidi w:val="0"/>
        <w:spacing w:before="120" w:after="280"/>
        <w:rPr/>
      </w:pPr>
      <w:r>
        <w:rPr/>
        <w:t>- Điều hành chính sách tài khóa phối hợp chặt chẽ với chính sách tiền tệ và các chính sách khác để góp phần ổn định kinh tế vĩ mô, kiểm soát lạm phát, bảo đảm các cân đối lớn của nền kinh tế. Thực hiện đồng bộ các giải pháp để hỗ trợ các hộ nghèo, các gia đình khó khăn và đảm bảo an sinh xã hội.</w:t>
      </w:r>
    </w:p>
    <w:p>
      <w:pPr>
        <w:pStyle w:val="Normal"/>
        <w:bidi w:val="0"/>
        <w:spacing w:before="120" w:after="280"/>
        <w:rPr/>
      </w:pPr>
      <w:r>
        <w:rPr/>
        <w:t>- Sử dụng linh hoạt, hiệu quả các công cụ, biện pháp điều tiết giá theo quy định của pháp luật về giá để kiểm soát, bình ổn thị trường. Tăng cường triển khai hiệu quả và giám sát thực hiện các biện pháp kê khai giá, niêm yết giá, công khai thông tin về giá, kiểm tra việc chấp hành pháp luật về giá, xử lý nghiêm các hành vi vi phạm pháp luật về giá.</w:t>
      </w:r>
    </w:p>
    <w:p>
      <w:pPr>
        <w:pStyle w:val="Normal"/>
        <w:bidi w:val="0"/>
        <w:spacing w:before="120" w:after="280"/>
        <w:rPr/>
      </w:pPr>
      <w:r>
        <w:rPr/>
        <w:t>- Tiếp tục đẩy mạnh công tác thông tin, tuyên truyền, đảm bảo kịp thời, minh bạch thông tin về giá và công tác điều hành giá của Chính phủ, Ban Chỉ đạo điều hành giá, nhất là diễn biến giá cả các vật tư quan trọng, các mặt hàng thiết yếu liên quan đến sản xuất và đời sống người dân để hạn chế gia tăng lạm phát kỳ vọng, ổn định tâm lý người tiêu dùng và doanh nghiệp.</w:t>
      </w:r>
    </w:p>
    <w:p>
      <w:pPr>
        <w:pStyle w:val="Normal"/>
        <w:bidi w:val="0"/>
        <w:spacing w:before="120" w:after="280"/>
        <w:rPr/>
      </w:pPr>
      <w:r>
        <w:rPr/>
        <w:t>- Tăng cường các biện pháp phòng chống buôn lậu, gian lận thương mại, sản xuất và kinh doanh hàng giả, hàng nhái, hàng kém chất lượng, cũng như các hàng hóa trốn thuế.</w:t>
      </w:r>
    </w:p>
    <w:p>
      <w:pPr>
        <w:pStyle w:val="Normal"/>
        <w:bidi w:val="0"/>
        <w:spacing w:before="120" w:after="280"/>
        <w:rPr/>
      </w:pPr>
      <w:r>
        <w:rPr/>
        <w:t>- Các bộ, ngành, địa phương có trách nhiệm ban hành văn bản định giá theo thẩm quyền, tổ chức triển khai nhiệm vụ quản lý giá thuộc thẩm quyền, trách nhiệm theo quy định tại Luật Giá số 16/2023/QH15, được sửa đổi, bổ sung bởi Luật Giá số 140/2025/QH15 và các văn bản hướng dẫn; chủ động rà soát, ban hành các định mức kinh tế - kỹ thuật theo thẩm quyền giúp công khai, minh bạch, tiết kiệm, hiệu quả trong công tác định giá.</w:t>
      </w:r>
    </w:p>
    <w:p>
      <w:pPr>
        <w:pStyle w:val="Normal"/>
        <w:bidi w:val="0"/>
        <w:spacing w:before="120" w:after="280"/>
        <w:rPr/>
      </w:pPr>
      <w:r>
        <w:rPr/>
        <w:t>b) Các bộ, ngành, địa phương tăng cường trách nhiệm quản lý nhà nước về giá đối với các hàng hóa, dịch vụ theo lĩnh vực quản lý</w:t>
      </w:r>
    </w:p>
    <w:p>
      <w:pPr>
        <w:pStyle w:val="Normal"/>
        <w:bidi w:val="0"/>
        <w:spacing w:before="120" w:after="280"/>
        <w:rPr/>
      </w:pPr>
      <w:r>
        <w:rPr/>
        <w:t>Các Bộ, ngành, địa phương có trách nhiệm tổ chức, theo dõi sát diễn biến cung cầu, giá cả thị trường các mặt hàng thuộc lĩnh vực quản lý để có biện pháp điều hành phù hợp nhất là đối với những mặt hàng ảnh hưởng trực tiếp đến đời sống người dân như lương thực, thực phẩm, điện, vật liệu xây dựng, giáo dục và y tế, đồng thời theo dõi chặt chẽ biến động giá của các nhóm hàng có tác động gián tiếp như vàng, ngoại tệ (USD) và bất động sản, trong đó:</w:t>
      </w:r>
    </w:p>
    <w:p>
      <w:pPr>
        <w:pStyle w:val="Normal"/>
        <w:bidi w:val="0"/>
        <w:spacing w:before="120" w:after="280"/>
        <w:rPr/>
      </w:pPr>
      <w:r>
        <w:rPr/>
        <w:t>- Xăng dầu, LPG: Bộ Công Thương chủ trì, phối hợp với các cơ quan liên quan thực hiện các giải pháp bảo đảm nguồn cung xăng dầu, LPG cho thị trường trong nước trong mọi tình huống và điều hành giá xăng dầu theo quy định; đồng thời, nghiên cứu để đa dạng hóa nguồn cung; chủ động công tác dự trữ xăng dầu để linh hoạt điều tiết và bình ổn thị trường khi phát sinh biến động hoặc gián đoạn nguồn cung; tăng cường kiểm tra, giám sát thị trường, xử lý nghiêm các hành vi vi phạm; không để thiếu hụt, đứt gãy nguồn cung xăng dầu...</w:t>
      </w:r>
    </w:p>
    <w:p>
      <w:pPr>
        <w:pStyle w:val="Normal"/>
        <w:bidi w:val="0"/>
        <w:spacing w:before="120" w:after="280"/>
        <w:rPr/>
      </w:pPr>
      <w:r>
        <w:rPr/>
        <w:t>- Lương thực, thực phẩm: Bộ Nông nghiệp và Môi trường chủ trì, phối hợp Bộ Công Thương và các địa phương theo dõi sát tình hình sản xuất, nhu cầu tiêu dùng, diễn biến giá cả các mặt hàng nông sản thiết yếu như lúa gạo, thịt lợn,... để đáp ứng nhu cầu của người dân vào lễ hội sau Tết và giá các vật tư nông nghiệp không để xảy ra tình trạng đầu cơ, găm hàng, tăng giá bất hợp lý; kịp thời điều hòa cung cầu các mặt hàng phục vụ nhu cầu trong nước, giữa các vùng, địa phương và nhu cầu xuất khẩu để ổn định giá cả thị trường. Đồng thời, Bộ Nông nghiệp và Môi trường chủ trì, phối hợp với Bộ Công Thương, Bộ Tài chính tổ chức cuộc họp bàn giải pháp nhằm tháo gỡ khó khăn trong xuất khẩu lúa gạo thời gian tới.</w:t>
      </w:r>
    </w:p>
    <w:p>
      <w:pPr>
        <w:pStyle w:val="Normal"/>
        <w:bidi w:val="0"/>
        <w:spacing w:before="120" w:after="280"/>
        <w:rPr/>
      </w:pPr>
      <w:r>
        <w:rPr/>
        <w:t>- Đối với các mặt hàng đang dự kiến có phương án điều chỉnh giá: các Bộ, ngành theo chức năng nhiệm vụ được giao chủ động rà soát kỹ các yếu tố hình thành giá, phối hợp với Cục Thống kê đánh giá kỹ tác động đối với kinh tế - xã hội, mặt bằng giá để chủ động có phương án điều chỉnh theo thẩm quyền hoặc kịp thời trình cấp có thẩm quyền xem xét phương án điều chỉnh giá phù hợp với diễn biến, mặt hàng giá thị trường theo đúng quy định với mức độ và thời điểm điều Chính phủ hợp, tránh gây xáo trộn lớn về mặt bằng giá cả, hạn chế tác động tiêu cực đến đời sống của người dân, tránh gây cộng hưởng lạm phát chi phí đẩy và lạm phát kỳ vọng của nền kinh tế, góp phần bảo đảm mục tiêu kiểm soát lạm phát.</w:t>
      </w:r>
    </w:p>
    <w:p>
      <w:pPr>
        <w:pStyle w:val="Normal"/>
        <w:bidi w:val="0"/>
        <w:spacing w:before="120" w:after="280"/>
        <w:rPr/>
      </w:pPr>
      <w:r>
        <w:rPr/>
        <w:t>- Vật liệu xây dựng: Bộ Xây dựng chủ trì, phối hợp với các địa phương theo dõi chặt chẽ diễn biến thị trường vật liệu xây dựng, chủ động nắm bắt các thông tin thị trường về giá vật liệu xây dựng, đặc biệt là các loại vật liệu chủ yếu phục vụ các công trình trọng điểm trong năm 2026, tập trung triển khai đồng bộ các giải pháp bảo đảm nguồn cung nguyên vật liệu xây dựng (như cát, đá, sỏi,...) phục vụ thi công các dự án; thực hiện thanh tra, kiểm tra việc chấp hành pháp luật và xử lý vi phạm pháp luật về giá vật liệu xây dựng theo quy định, nhất là vi phạm các điều nghiêm câm trong lĩnh vực giá (như: loan tin, đưa tin không đúng sự thật, không chính xác về tình hình kinh tế - xã hội gây nhiễu loạn thông tin thị trường, giá hàng hóa, dịch vụ;...); tiếp tục thực hiện nghiêm túc Chỉ thị số 15/CT-TTg ngày 30/5/2025 của Thủ tướng Chính phủ về việc tăng cường chấp hành quy định pháp luật về giá để tăng cường chấp hành quy định pháp luật về giá và Công điện số 85/CĐ-TTg ngày 10/6/2025 của Thủ tướng Chính phủ về việc tăng cường các giải pháp quản lý, bình ổn giá vật liệu xây dựng.</w:t>
      </w:r>
    </w:p>
    <w:p>
      <w:pPr>
        <w:pStyle w:val="Normal"/>
        <w:bidi w:val="0"/>
        <w:spacing w:before="120" w:after="280"/>
        <w:rPr/>
      </w:pPr>
      <w:r>
        <w:rPr/>
        <w:t>- Đất đai, bất động sản và nhà ở: Bộ Nông nghiệp và Môi trường, Bộ Xây dựng phối hợp Ủy ban nhân dân các tỉnh, thành phố trực thuộc trung ương có giải pháp phát triển thị trường bất động sản vận hành lành mạnh, bảo đảm phù hợp với điều kiện và nhu cầu thực tế của người dân, tập trung vào phát triển thị trường phân khúc nhà ở xã hội và nhà ở cho người có thu nhập trung bình, phục vụ hiệu quả nhu cầu nhà ở và an sinh xã hội.</w:t>
      </w:r>
    </w:p>
    <w:p>
      <w:pPr>
        <w:pStyle w:val="Normal"/>
        <w:bidi w:val="0"/>
        <w:spacing w:before="120" w:after="280"/>
        <w:rPr/>
      </w:pPr>
      <w:r>
        <w:rPr/>
        <w:t>- Đối với công tác điều hành giá mặt hàng quan trọng, thiết yếu khác, các bộ, ngành, địa phương có trách nhiệm tổ chức, theo dõi sát diễn biến cung cầu, giá cả thị trường các mặt hàng thuộc lĩnh vực quản lý để có biện pháp điều hành phù hợp, chủ động dự báo và có phương án bảo đảm cân đối cung cầu, nhất là trong các thời điểm thị trường có nhu cầu tăng cao, không để xảy ra tình trạng thiếu hàng, gián đoạn nguồn hàng gây tăng giá đột biến.</w:t>
      </w:r>
    </w:p>
    <w:p>
      <w:pPr>
        <w:pStyle w:val="Normal"/>
        <w:bidi w:val="0"/>
        <w:spacing w:before="120" w:after="280"/>
        <w:rPr/>
      </w:pPr>
      <w:r>
        <w:rPr/>
        <w:t>Văn phòng Chính phủ thông báo để các Bộ, cơ quan, địa phương biết, thực hiện./.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b/>
                <w:bCs/>
                <w:i/>
                <w:iCs/>
              </w:rPr>
              <w:br/>
              <w:t>Nơi nhận:</w:t>
              <w:br/>
            </w:r>
            <w:r>
              <w:rPr>
                <w:sz w:val="16"/>
              </w:rPr>
              <w:t>- TTgCP, các PTTg;</w:t>
              <w:br/>
              <w:t>- Ban Chính sách, chiến lược Trung ương;</w:t>
              <w:br/>
              <w:t>- Ban Tuyên giáo và Dân vận Trung ương;</w:t>
              <w:br/>
              <w:t>- Văn phòng Trung ương Đảng,</w:t>
              <w:br/>
              <w:t>- Văn phòng Quốc hội;</w:t>
              <w:br/>
              <w:t>- Ủy ban Kinh tế và Tài chính của QH;</w:t>
              <w:br/>
              <w:t>- Thành viên Ban Chỉ đạo điều hành giá;</w:t>
              <w:br/>
              <w:t>- Các Bộ: TC, YT, GDĐT, NNMT, XD, KHCN, CT,</w:t>
              <w:br/>
              <w:t>- Ngân hàng Nhà nước Việt Nam;</w:t>
              <w:br/>
              <w:t>- Cục Thống kê;</w:t>
              <w:br/>
              <w:t>- UBND các tỉnh, thành phố trực thuộc trung ương;</w:t>
              <w:br/>
              <w:t>- VPCP: BTCN, các PCN, Cổng TTĐTCP, các Vụ: TH, TKBT, CN, NN, KGVX, PL;</w:t>
              <w:br/>
              <w:t>- Lưu: VT, KTTH (2).</w:t>
            </w:r>
            <w:r>
              <w:rPr/>
              <w:t xml:space="preserve"> </w:t>
            </w:r>
          </w:p>
        </w:tc>
        <w:tc>
          <w:tcPr>
            <w:tcW w:w="4986" w:type="dxa"/>
            <w:tcBorders/>
          </w:tcPr>
          <w:p>
            <w:pPr>
              <w:pStyle w:val="Normal"/>
              <w:bidi w:val="0"/>
              <w:spacing w:before="120" w:after="0"/>
              <w:jc w:val="center"/>
              <w:rPr>
                <w:b/>
                <w:bCs/>
              </w:rPr>
            </w:pPr>
            <w:r>
              <w:rPr>
                <w:b/>
                <w:bCs/>
              </w:rPr>
              <w:t>KT. BỘ TRƯỞNG, CHỦ NHIỆM</w:t>
              <w:br/>
              <w:t>PHÓ CHỦ NHIỆM</w:t>
              <w:br/>
              <w:br/>
              <w:br/>
              <w:br/>
              <w:br/>
              <w:t>Đỗ Ngọc Huỳnh</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