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BỘ NÔNG NGHIỆP VÀ</w:t>
              <w:br/>
              <w:t>MÔI TRƯỜNG</w:t>
              <w:br/>
            </w:r>
            <w:r>
              <w:rPr>
                <w:b/>
                <w:bCs/>
              </w:rPr>
              <w:t>CỤC TRỒNG TRỌT VÀ BẢO VỆ THỰC VẬT</w:t>
            </w:r>
            <w:r>
              <w:rPr/>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104/QĐ-TTTV</w:t>
            </w:r>
          </w:p>
        </w:tc>
        <w:tc>
          <w:tcPr>
            <w:tcW w:w="6607" w:type="dxa"/>
            <w:tcBorders/>
          </w:tcPr>
          <w:p>
            <w:pPr>
              <w:pStyle w:val="Normal"/>
              <w:bidi w:val="0"/>
              <w:spacing w:before="0" w:after="0"/>
              <w:jc w:val="end"/>
              <w:rPr/>
            </w:pPr>
            <w:r>
              <w:rPr>
                <w:i/>
                <w:iCs/>
              </w:rPr>
              <w:t>Hà Nội, ngày 11 tháng 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VỀ VIỆC BAN HÀNH TIÊU CHUẨN CƠ SỞ ĐỢT 1 NĂM 2026</w:t>
      </w:r>
      <w:bookmarkEnd w:id="1"/>
    </w:p>
    <w:p>
      <w:pPr>
        <w:pStyle w:val="Normal"/>
        <w:bidi w:val="0"/>
        <w:spacing w:before="0" w:after="120"/>
        <w:jc w:val="center"/>
        <w:rPr>
          <w:b/>
          <w:bCs/>
          <w:sz w:val="24"/>
        </w:rPr>
      </w:pPr>
      <w:r>
        <w:rPr>
          <w:b/>
          <w:bCs/>
          <w:sz w:val="24"/>
        </w:rPr>
        <w:t>CỤC TRƯỞNG CỤC TRỒNG TRỌT VÀ BẢO VỆ THỰC VẬT</w:t>
      </w:r>
    </w:p>
    <w:p>
      <w:pPr>
        <w:pStyle w:val="Normal"/>
        <w:bidi w:val="0"/>
        <w:spacing w:before="0" w:after="120"/>
        <w:rPr>
          <w:i/>
          <w:iCs/>
        </w:rPr>
      </w:pPr>
      <w:r>
        <w:rPr>
          <w:i/>
          <w:iCs/>
        </w:rPr>
        <w:t>Căn cứ Luật Tiêu chuẩn và Quy chuẩn kỹ thuật số 68/2006/QH11 ngày 29 tháng 6 năm 2006 của Quốc hội; Luật sửa đổi, bổ sung một số điều của Luật Tiêu chuẩn và Quy chuẩn kỹ thuật số 70/2025/QH15 ngày 14 tháng 6 năm 2025 của Quốc hội;</w:t>
      </w:r>
    </w:p>
    <w:p>
      <w:pPr>
        <w:pStyle w:val="Normal"/>
        <w:bidi w:val="0"/>
        <w:spacing w:before="0" w:after="120"/>
        <w:rPr>
          <w:i/>
          <w:iCs/>
        </w:rPr>
      </w:pPr>
      <w:r>
        <w:rPr>
          <w:i/>
          <w:iCs/>
        </w:rPr>
        <w:t>Căn cứ Quyết định số 58/QĐ-BNNMT ngày 01 tháng 3 năm 2025 của Bộ trưởng Bộ Nông nghiệp và Môi trường quy định chức năng, nhiệm vụ, quyền hạn và cơ cấu tổ chức của Cục Trồng trọt và Bảo vệ thực vật;</w:t>
      </w:r>
    </w:p>
    <w:p>
      <w:pPr>
        <w:pStyle w:val="Normal"/>
        <w:bidi w:val="0"/>
        <w:spacing w:before="0" w:after="120"/>
        <w:rPr>
          <w:i/>
          <w:iCs/>
        </w:rPr>
      </w:pPr>
      <w:r>
        <w:rPr>
          <w:i/>
          <w:iCs/>
        </w:rPr>
        <w:t>Căn cứ công văn số 2640/TTTV/KHCN ngày 13/8/2025; 3830/TTTV- KHCN ngày 30/10/2025 về việc giao nhiệm vụ xây dựng TCCS đợt 3 và đợt 4 năm 2025;</w:t>
      </w:r>
    </w:p>
    <w:p>
      <w:pPr>
        <w:pStyle w:val="Normal"/>
        <w:bidi w:val="0"/>
        <w:spacing w:before="0" w:after="120"/>
        <w:rPr>
          <w:i/>
          <w:iCs/>
        </w:rPr>
      </w:pPr>
      <w:r>
        <w:rPr>
          <w:i/>
          <w:iCs/>
        </w:rPr>
        <w:t>Căn cứ Quyết định số 5019/QĐ-TTTV ngày 29/12/2026 của Cục trưởng Trồng trọt và Cục Bảo vệ thực vật về việc thành lập hội đồng nghiệm thu tiêu chuẩn cơ sở năm 2025 (đợt 2);</w:t>
      </w:r>
    </w:p>
    <w:p>
      <w:pPr>
        <w:pStyle w:val="Normal"/>
        <w:bidi w:val="0"/>
        <w:spacing w:before="0" w:after="120"/>
        <w:rPr>
          <w:i/>
          <w:iCs/>
        </w:rPr>
      </w:pPr>
      <w:r>
        <w:rPr>
          <w:i/>
          <w:iCs/>
        </w:rPr>
        <w:t>Căn cứ công văn số 15/KĐKNTPN-KĐ ngày 04/02/2026 của Trung tâm Kiểm định và Khảo nghiệm thuốc Bảo vệ thực vật phía Nam; công văn số 18/KĐKNPB- KĐT ngày 04/02/2026 của Trung tâm Kiểm định và Khảo nghiệm thuốc Bảo vệ thực vật phía Bắc về việc đề nghị ban hành tiêu chuẩn cơ sở;</w:t>
      </w:r>
    </w:p>
    <w:p>
      <w:pPr>
        <w:pStyle w:val="Normal"/>
        <w:bidi w:val="0"/>
        <w:spacing w:before="0" w:after="120"/>
        <w:rPr>
          <w:i/>
          <w:iCs/>
        </w:rPr>
      </w:pPr>
      <w:r>
        <w:rPr>
          <w:i/>
          <w:iCs/>
        </w:rPr>
        <w:t>Xét đề nghị của Hội đồng nghiệm thu tiêu chuẩn cơ sở năm 2025 (đợt 2) và Trưởng phòng Khoa học công nghệ.</w:t>
      </w:r>
    </w:p>
    <w:p>
      <w:pPr>
        <w:pStyle w:val="Normal"/>
        <w:bidi w:val="0"/>
        <w:spacing w:before="0" w:after="120"/>
        <w:jc w:val="center"/>
        <w:rPr>
          <w:b/>
          <w:bCs/>
          <w:sz w:val="24"/>
        </w:rPr>
      </w:pPr>
      <w:r>
        <w:rPr>
          <w:b/>
          <w:bCs/>
          <w:sz w:val="24"/>
        </w:rPr>
        <w:t>QUYẾT ĐỊNH:</w:t>
      </w:r>
    </w:p>
    <w:p>
      <w:pPr>
        <w:pStyle w:val="Normal"/>
        <w:bidi w:val="0"/>
        <w:spacing w:before="0" w:after="120"/>
        <w:rPr/>
      </w:pPr>
      <w:bookmarkStart w:id="2" w:name="dieu_1"/>
      <w:r>
        <w:rPr>
          <w:b/>
          <w:bCs/>
        </w:rPr>
        <w:t>Điều 1</w:t>
      </w:r>
      <w:r>
        <w:rPr/>
        <w:t>. Ban hành 05 tiêu chuẩn cơ sở về lĩnh vực thuốc bảo vệ thực vật, chi tiết tại phụ lục ban hành kèm theo Quyết định này.</w:t>
      </w:r>
      <w:bookmarkEnd w:id="2"/>
    </w:p>
    <w:p>
      <w:pPr>
        <w:pStyle w:val="Normal"/>
        <w:bidi w:val="0"/>
        <w:spacing w:before="0" w:after="120"/>
        <w:rPr/>
      </w:pPr>
      <w:bookmarkStart w:id="3" w:name="dieu_2"/>
      <w:r>
        <w:rPr>
          <w:b/>
          <w:bCs/>
        </w:rPr>
        <w:t>Điều 2</w:t>
      </w:r>
      <w:r>
        <w:rPr/>
        <w:t>. Quyết định này có hiệu lực kể từ ngày ký.</w:t>
      </w:r>
      <w:bookmarkEnd w:id="3"/>
    </w:p>
    <w:p>
      <w:pPr>
        <w:pStyle w:val="Normal"/>
        <w:bidi w:val="0"/>
        <w:spacing w:before="0" w:after="120"/>
        <w:rPr/>
      </w:pPr>
      <w:bookmarkStart w:id="4" w:name="dieu_3"/>
      <w:r>
        <w:rPr>
          <w:b/>
          <w:bCs/>
        </w:rPr>
        <w:t>Điều 3</w:t>
      </w:r>
      <w:r>
        <w:rPr/>
        <w:t>. Phòng Khoa học công nghệ, Trung tâm Kiểm định và Khảo nghiệm thuốc Bảo vệ thực vật phía Bắc, Trung tâm Kiểm định và Khảo nghiệm thuốc Bảo vệ thực vật phía Nam, các tổ chức và cá nhân có liên quan chịu trách nhiệm thi hành Quyết định này./.</w:t>
      </w:r>
      <w:bookmarkEnd w:id="4"/>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85"/>
        <w:gridCol w:w="4655"/>
      </w:tblGrid>
      <w:tr>
        <w:trPr/>
        <w:tc>
          <w:tcPr>
            <w:tcW w:w="3985" w:type="dxa"/>
            <w:tcBorders/>
          </w:tcPr>
          <w:p>
            <w:pPr>
              <w:pStyle w:val="Normal"/>
              <w:bidi w:val="0"/>
              <w:spacing w:before="0" w:after="120"/>
              <w:rPr>
                <w:sz w:val="16"/>
              </w:rPr>
            </w:pPr>
            <w:r>
              <w:rPr>
                <w:sz w:val="16"/>
              </w:rPr>
              <w:t> </w:t>
            </w:r>
          </w:p>
          <w:p>
            <w:pPr>
              <w:pStyle w:val="Normal"/>
              <w:bidi w:val="0"/>
              <w:spacing w:before="0" w:after="120"/>
              <w:rPr/>
            </w:pPr>
            <w:r>
              <w:rPr>
                <w:b/>
                <w:bCs/>
                <w:i/>
                <w:iCs/>
              </w:rPr>
              <w:t>Nơi nhận:</w:t>
              <w:br/>
            </w:r>
            <w:r>
              <w:rPr/>
              <w:t>- Như Điều 3;</w:t>
              <w:br/>
              <w:t>- Cục trưởng (để b/c);</w:t>
              <w:br/>
              <w:t>- Văn phòng Cục (đăng website);</w:t>
              <w:br/>
              <w:t>- Phòng Quản lý thuốc BVTV;</w:t>
              <w:br/>
              <w:t>- Phòng Chính sách - Pháp chế;</w:t>
              <w:br/>
              <w:t>- Lưu: VT, KHCN.</w:t>
            </w:r>
          </w:p>
          <w:p>
            <w:pPr>
              <w:pStyle w:val="Normal"/>
              <w:bidi w:val="0"/>
              <w:spacing w:before="0" w:after="0"/>
              <w:rPr/>
            </w:pPr>
            <w:r>
              <w:rPr/>
            </w:r>
          </w:p>
        </w:tc>
        <w:tc>
          <w:tcPr>
            <w:tcW w:w="4655" w:type="dxa"/>
            <w:tcBorders/>
          </w:tcPr>
          <w:p>
            <w:pPr>
              <w:pStyle w:val="Normal"/>
              <w:bidi w:val="0"/>
              <w:spacing w:before="0" w:after="0"/>
              <w:jc w:val="center"/>
              <w:rPr/>
            </w:pPr>
            <w:r>
              <w:rPr>
                <w:b/>
                <w:bCs/>
              </w:rPr>
              <w:t>KT. CỤC TRƯỞNG</w:t>
              <w:br/>
              <w:t>PHÓ CỤC TRƯỞNG</w:t>
            </w:r>
            <w:r>
              <w:rPr/>
              <w:br/>
              <w:br/>
              <w:br/>
              <w:br/>
              <w:br/>
              <w:t>Nguyễn Quý Dương</w:t>
            </w:r>
          </w:p>
        </w:tc>
      </w:tr>
    </w:tbl>
    <w:p>
      <w:pPr>
        <w:pStyle w:val="Normal"/>
        <w:bidi w:val="0"/>
        <w:spacing w:before="0" w:after="120"/>
        <w:rPr/>
      </w:pPr>
      <w:r>
        <w:rPr/>
        <w:t> </w:t>
      </w:r>
    </w:p>
    <w:p>
      <w:pPr>
        <w:pStyle w:val="Normal"/>
        <w:bidi w:val="0"/>
        <w:spacing w:before="0" w:after="120"/>
        <w:jc w:val="center"/>
        <w:rPr>
          <w:b/>
          <w:bCs/>
        </w:rPr>
      </w:pPr>
      <w:bookmarkStart w:id="5" w:name="chuong_pl"/>
      <w:r>
        <w:rPr>
          <w:b/>
          <w:bCs/>
        </w:rPr>
        <w:t>PHỤ LỤC. DANH SÁCH TIÊU CHUẨN CƠ SỞ BAN HÀNH ĐỢT 1 - NĂM 2026</w:t>
      </w:r>
      <w:bookmarkEnd w:id="5"/>
    </w:p>
    <w:p>
      <w:pPr>
        <w:pStyle w:val="Normal"/>
        <w:bidi w:val="0"/>
        <w:spacing w:before="0" w:after="120"/>
        <w:jc w:val="center"/>
        <w:rPr>
          <w:i/>
          <w:iCs/>
        </w:rPr>
      </w:pPr>
      <w:r>
        <w:rPr>
          <w:i/>
          <w:iCs/>
        </w:rPr>
        <w:t>(Kèm theo Quyết định số 104/QĐ-TTTV ngày 11 tháng 3 năm 2026 của Cục trưởng Cục Trồng trọt và Bảo vệ thực vật)</w:t>
      </w:r>
    </w:p>
    <w:tbl>
      <w:tblPr>
        <w:tblW w:w="5000" w:type="pct"/>
        <w:jc w:val="start"/>
        <w:tblInd w:w="0" w:type="dxa"/>
        <w:tblLayout w:type="fixed"/>
        <w:tblCellMar>
          <w:top w:w="28" w:type="dxa"/>
          <w:start w:w="108" w:type="dxa"/>
          <w:bottom w:w="28" w:type="dxa"/>
          <w:end w:w="108" w:type="dxa"/>
        </w:tblCellMar>
      </w:tblPr>
      <w:tblGrid>
        <w:gridCol w:w="886"/>
        <w:gridCol w:w="4453"/>
        <w:gridCol w:w="1996"/>
        <w:gridCol w:w="1207"/>
        <w:gridCol w:w="1430"/>
      </w:tblGrid>
      <w:tr>
        <w:trPr/>
        <w:tc>
          <w:tcPr>
            <w:tcW w:w="886"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TT</w:t>
            </w:r>
          </w:p>
        </w:tc>
        <w:tc>
          <w:tcPr>
            <w:tcW w:w="4453"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Tên tiêu chuẩn</w:t>
            </w:r>
          </w:p>
        </w:tc>
        <w:tc>
          <w:tcPr>
            <w:tcW w:w="1996"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Số hiệu tiêu chuẩn</w:t>
            </w:r>
          </w:p>
        </w:tc>
        <w:tc>
          <w:tcPr>
            <w:tcW w:w="1207"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Phương thức xây dựng</w:t>
            </w:r>
          </w:p>
        </w:tc>
        <w:tc>
          <w:tcPr>
            <w:tcW w:w="1430"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Lĩnh vực</w:t>
            </w:r>
          </w:p>
        </w:tc>
      </w:tr>
      <w:tr>
        <w:trPr/>
        <w:tc>
          <w:tcPr>
            <w:tcW w:w="886" w:type="dxa"/>
            <w:tcBorders>
              <w:start w:val="single" w:sz="8" w:space="0" w:color="000000"/>
              <w:bottom w:val="single" w:sz="8" w:space="0" w:color="000000"/>
              <w:end w:val="single" w:sz="8" w:space="0" w:color="000000"/>
            </w:tcBorders>
          </w:tcPr>
          <w:p>
            <w:pPr>
              <w:pStyle w:val="Normal"/>
              <w:bidi w:val="0"/>
              <w:spacing w:before="0" w:after="0"/>
              <w:jc w:val="center"/>
              <w:rPr/>
            </w:pPr>
            <w:r>
              <w:rPr/>
              <w:t>1</w:t>
            </w:r>
          </w:p>
        </w:tc>
        <w:tc>
          <w:tcPr>
            <w:tcW w:w="4453" w:type="dxa"/>
            <w:tcBorders>
              <w:bottom w:val="single" w:sz="8" w:space="0" w:color="000000"/>
              <w:end w:val="single" w:sz="8" w:space="0" w:color="000000"/>
            </w:tcBorders>
          </w:tcPr>
          <w:p>
            <w:pPr>
              <w:pStyle w:val="Normal"/>
              <w:bidi w:val="0"/>
              <w:spacing w:before="0" w:after="0"/>
              <w:rPr/>
            </w:pPr>
            <w:r>
              <w:rPr/>
              <w:t>Nông sản có nguồn gốc thực vật – Xác định dư lượng thuốc bảo vệ thực vật Acequinocyl bằng kỹ thuật sắc ký lỏng ghép khối phổ (LC-MS/MS).</w:t>
            </w:r>
          </w:p>
        </w:tc>
        <w:tc>
          <w:tcPr>
            <w:tcW w:w="1996" w:type="dxa"/>
            <w:tcBorders>
              <w:bottom w:val="single" w:sz="8" w:space="0" w:color="000000"/>
              <w:end w:val="single" w:sz="8" w:space="0" w:color="000000"/>
            </w:tcBorders>
          </w:tcPr>
          <w:p>
            <w:pPr>
              <w:pStyle w:val="Normal"/>
              <w:bidi w:val="0"/>
              <w:spacing w:before="0" w:after="0"/>
              <w:jc w:val="center"/>
              <w:rPr/>
            </w:pPr>
            <w:r>
              <w:rPr/>
              <w:t>TCCS 1013:</w:t>
              <w:br/>
              <w:t>2026/TTBVTV</w:t>
            </w:r>
          </w:p>
        </w:tc>
        <w:tc>
          <w:tcPr>
            <w:tcW w:w="1207" w:type="dxa"/>
            <w:tcBorders>
              <w:bottom w:val="single" w:sz="8" w:space="0" w:color="000000"/>
              <w:end w:val="single" w:sz="8" w:space="0" w:color="000000"/>
            </w:tcBorders>
          </w:tcPr>
          <w:p>
            <w:pPr>
              <w:pStyle w:val="Normal"/>
              <w:bidi w:val="0"/>
              <w:spacing w:before="0" w:after="0"/>
              <w:jc w:val="center"/>
              <w:rPr/>
            </w:pPr>
            <w:r>
              <w:rPr/>
              <w:t>Xây dựng mới</w:t>
            </w:r>
          </w:p>
        </w:tc>
        <w:tc>
          <w:tcPr>
            <w:tcW w:w="1430" w:type="dxa"/>
            <w:tcBorders>
              <w:bottom w:val="single" w:sz="8" w:space="0" w:color="000000"/>
              <w:end w:val="single" w:sz="8" w:space="0" w:color="000000"/>
            </w:tcBorders>
          </w:tcPr>
          <w:p>
            <w:pPr>
              <w:pStyle w:val="Normal"/>
              <w:bidi w:val="0"/>
              <w:spacing w:before="0" w:after="0"/>
              <w:jc w:val="center"/>
              <w:rPr/>
            </w:pPr>
            <w:r>
              <w:rPr/>
              <w:t>Dư lượng</w:t>
            </w:r>
          </w:p>
        </w:tc>
      </w:tr>
      <w:tr>
        <w:trPr/>
        <w:tc>
          <w:tcPr>
            <w:tcW w:w="886" w:type="dxa"/>
            <w:tcBorders>
              <w:start w:val="single" w:sz="8" w:space="0" w:color="000000"/>
              <w:bottom w:val="single" w:sz="8" w:space="0" w:color="000000"/>
              <w:end w:val="single" w:sz="8" w:space="0" w:color="000000"/>
            </w:tcBorders>
          </w:tcPr>
          <w:p>
            <w:pPr>
              <w:pStyle w:val="Normal"/>
              <w:bidi w:val="0"/>
              <w:spacing w:before="0" w:after="0"/>
              <w:jc w:val="center"/>
              <w:rPr/>
            </w:pPr>
            <w:r>
              <w:rPr/>
              <w:t>2</w:t>
            </w:r>
          </w:p>
        </w:tc>
        <w:tc>
          <w:tcPr>
            <w:tcW w:w="4453" w:type="dxa"/>
            <w:tcBorders>
              <w:bottom w:val="single" w:sz="8" w:space="0" w:color="000000"/>
              <w:end w:val="single" w:sz="8" w:space="0" w:color="000000"/>
            </w:tcBorders>
          </w:tcPr>
          <w:p>
            <w:pPr>
              <w:pStyle w:val="Normal"/>
              <w:bidi w:val="0"/>
              <w:spacing w:before="0" w:after="0"/>
              <w:rPr/>
            </w:pPr>
            <w:r>
              <w:rPr/>
              <w:t>Thuốc bảo vệ thực vật - Xác định hàm lượng hoạt chất Dimpropyridaz bằng phương pháp sắc ký lỏng hiệu năng cao.</w:t>
            </w:r>
          </w:p>
        </w:tc>
        <w:tc>
          <w:tcPr>
            <w:tcW w:w="1996" w:type="dxa"/>
            <w:tcBorders>
              <w:bottom w:val="single" w:sz="8" w:space="0" w:color="000000"/>
              <w:end w:val="single" w:sz="8" w:space="0" w:color="000000"/>
            </w:tcBorders>
          </w:tcPr>
          <w:p>
            <w:pPr>
              <w:pStyle w:val="Normal"/>
              <w:bidi w:val="0"/>
              <w:spacing w:before="0" w:after="0"/>
              <w:jc w:val="center"/>
              <w:rPr/>
            </w:pPr>
            <w:r>
              <w:rPr/>
              <w:t>TCCS 1014:</w:t>
              <w:br/>
              <w:t>2026/TTBVTV</w:t>
            </w:r>
          </w:p>
        </w:tc>
        <w:tc>
          <w:tcPr>
            <w:tcW w:w="1207" w:type="dxa"/>
            <w:tcBorders>
              <w:bottom w:val="single" w:sz="8" w:space="0" w:color="000000"/>
              <w:end w:val="single" w:sz="8" w:space="0" w:color="000000"/>
            </w:tcBorders>
          </w:tcPr>
          <w:p>
            <w:pPr>
              <w:pStyle w:val="Normal"/>
              <w:bidi w:val="0"/>
              <w:spacing w:before="0" w:after="0"/>
              <w:jc w:val="center"/>
              <w:rPr/>
            </w:pPr>
            <w:r>
              <w:rPr/>
              <w:t>Xây dựng mới</w:t>
            </w:r>
          </w:p>
        </w:tc>
        <w:tc>
          <w:tcPr>
            <w:tcW w:w="1430" w:type="dxa"/>
            <w:tcBorders>
              <w:bottom w:val="single" w:sz="8" w:space="0" w:color="000000"/>
              <w:end w:val="single" w:sz="8" w:space="0" w:color="000000"/>
            </w:tcBorders>
          </w:tcPr>
          <w:p>
            <w:pPr>
              <w:pStyle w:val="Normal"/>
              <w:bidi w:val="0"/>
              <w:spacing w:before="0" w:after="0"/>
              <w:jc w:val="center"/>
              <w:rPr/>
            </w:pPr>
            <w:r>
              <w:rPr/>
              <w:t>Kiểm định thuốc</w:t>
            </w:r>
          </w:p>
        </w:tc>
      </w:tr>
      <w:tr>
        <w:trPr/>
        <w:tc>
          <w:tcPr>
            <w:tcW w:w="886" w:type="dxa"/>
            <w:tcBorders>
              <w:start w:val="single" w:sz="8" w:space="0" w:color="000000"/>
              <w:bottom w:val="single" w:sz="8" w:space="0" w:color="000000"/>
              <w:end w:val="single" w:sz="8" w:space="0" w:color="000000"/>
            </w:tcBorders>
          </w:tcPr>
          <w:p>
            <w:pPr>
              <w:pStyle w:val="Normal"/>
              <w:bidi w:val="0"/>
              <w:spacing w:before="0" w:after="0"/>
              <w:jc w:val="center"/>
              <w:rPr/>
            </w:pPr>
            <w:r>
              <w:rPr/>
              <w:t>3</w:t>
            </w:r>
          </w:p>
        </w:tc>
        <w:tc>
          <w:tcPr>
            <w:tcW w:w="4453" w:type="dxa"/>
            <w:tcBorders>
              <w:bottom w:val="single" w:sz="8" w:space="0" w:color="000000"/>
              <w:end w:val="single" w:sz="8" w:space="0" w:color="000000"/>
            </w:tcBorders>
          </w:tcPr>
          <w:p>
            <w:pPr>
              <w:pStyle w:val="Normal"/>
              <w:bidi w:val="0"/>
              <w:spacing w:before="0" w:after="0"/>
              <w:rPr/>
            </w:pPr>
            <w:r>
              <w:rPr/>
              <w:t>Thuốc bảo vệ thực vật - Xác định hàm lượng hoạt chất Fenmezoditiaz bằng phương pháp sắc ký lỏng hiệu năng cao.</w:t>
            </w:r>
          </w:p>
        </w:tc>
        <w:tc>
          <w:tcPr>
            <w:tcW w:w="1996" w:type="dxa"/>
            <w:tcBorders>
              <w:bottom w:val="single" w:sz="8" w:space="0" w:color="000000"/>
              <w:end w:val="single" w:sz="8" w:space="0" w:color="000000"/>
            </w:tcBorders>
          </w:tcPr>
          <w:p>
            <w:pPr>
              <w:pStyle w:val="Normal"/>
              <w:bidi w:val="0"/>
              <w:spacing w:before="0" w:after="0"/>
              <w:jc w:val="center"/>
              <w:rPr/>
            </w:pPr>
            <w:r>
              <w:rPr/>
              <w:t>TCCS 1015:</w:t>
              <w:br/>
              <w:t>2026/TTBVTV</w:t>
            </w:r>
          </w:p>
        </w:tc>
        <w:tc>
          <w:tcPr>
            <w:tcW w:w="1207" w:type="dxa"/>
            <w:tcBorders>
              <w:bottom w:val="single" w:sz="8" w:space="0" w:color="000000"/>
              <w:end w:val="single" w:sz="8" w:space="0" w:color="000000"/>
            </w:tcBorders>
          </w:tcPr>
          <w:p>
            <w:pPr>
              <w:pStyle w:val="Normal"/>
              <w:bidi w:val="0"/>
              <w:spacing w:before="0" w:after="0"/>
              <w:jc w:val="center"/>
              <w:rPr/>
            </w:pPr>
            <w:r>
              <w:rPr/>
              <w:t>Xây dựng mới</w:t>
            </w:r>
          </w:p>
        </w:tc>
        <w:tc>
          <w:tcPr>
            <w:tcW w:w="1430" w:type="dxa"/>
            <w:tcBorders>
              <w:bottom w:val="single" w:sz="8" w:space="0" w:color="000000"/>
              <w:end w:val="single" w:sz="8" w:space="0" w:color="000000"/>
            </w:tcBorders>
          </w:tcPr>
          <w:p>
            <w:pPr>
              <w:pStyle w:val="Normal"/>
              <w:bidi w:val="0"/>
              <w:spacing w:before="0" w:after="0"/>
              <w:jc w:val="center"/>
              <w:rPr/>
            </w:pPr>
            <w:r>
              <w:rPr/>
              <w:t>Kiểm định thuốc</w:t>
            </w:r>
          </w:p>
        </w:tc>
      </w:tr>
      <w:tr>
        <w:trPr/>
        <w:tc>
          <w:tcPr>
            <w:tcW w:w="886" w:type="dxa"/>
            <w:tcBorders>
              <w:start w:val="single" w:sz="8" w:space="0" w:color="000000"/>
              <w:bottom w:val="single" w:sz="8" w:space="0" w:color="000000"/>
              <w:end w:val="single" w:sz="8" w:space="0" w:color="000000"/>
            </w:tcBorders>
          </w:tcPr>
          <w:p>
            <w:pPr>
              <w:pStyle w:val="Normal"/>
              <w:bidi w:val="0"/>
              <w:spacing w:before="0" w:after="0"/>
              <w:jc w:val="center"/>
              <w:rPr/>
            </w:pPr>
            <w:r>
              <w:rPr/>
              <w:t>4</w:t>
            </w:r>
          </w:p>
        </w:tc>
        <w:tc>
          <w:tcPr>
            <w:tcW w:w="4453" w:type="dxa"/>
            <w:tcBorders>
              <w:bottom w:val="single" w:sz="8" w:space="0" w:color="000000"/>
              <w:end w:val="single" w:sz="8" w:space="0" w:color="000000"/>
            </w:tcBorders>
          </w:tcPr>
          <w:p>
            <w:pPr>
              <w:pStyle w:val="Normal"/>
              <w:bidi w:val="0"/>
              <w:spacing w:before="0" w:after="0"/>
              <w:rPr/>
            </w:pPr>
            <w:r>
              <w:rPr/>
              <w:t>Thuốc bảo vệ thực vật - Xác định hàm lượng hoạt chất Capsaicin bằng phương pháp sắc ký lỏng hiệu năng cao.</w:t>
            </w:r>
          </w:p>
        </w:tc>
        <w:tc>
          <w:tcPr>
            <w:tcW w:w="1996" w:type="dxa"/>
            <w:tcBorders>
              <w:bottom w:val="single" w:sz="8" w:space="0" w:color="000000"/>
              <w:end w:val="single" w:sz="8" w:space="0" w:color="000000"/>
            </w:tcBorders>
          </w:tcPr>
          <w:p>
            <w:pPr>
              <w:pStyle w:val="Normal"/>
              <w:bidi w:val="0"/>
              <w:spacing w:before="0" w:after="0"/>
              <w:jc w:val="center"/>
              <w:rPr/>
            </w:pPr>
            <w:r>
              <w:rPr/>
              <w:t>TCCS 1016:</w:t>
              <w:br/>
              <w:t>2026/TTBVTV</w:t>
            </w:r>
          </w:p>
        </w:tc>
        <w:tc>
          <w:tcPr>
            <w:tcW w:w="1207" w:type="dxa"/>
            <w:tcBorders>
              <w:bottom w:val="single" w:sz="8" w:space="0" w:color="000000"/>
              <w:end w:val="single" w:sz="8" w:space="0" w:color="000000"/>
            </w:tcBorders>
          </w:tcPr>
          <w:p>
            <w:pPr>
              <w:pStyle w:val="Normal"/>
              <w:bidi w:val="0"/>
              <w:spacing w:before="0" w:after="0"/>
              <w:jc w:val="center"/>
              <w:rPr/>
            </w:pPr>
            <w:r>
              <w:rPr/>
              <w:t>Xây dựng mới</w:t>
            </w:r>
          </w:p>
        </w:tc>
        <w:tc>
          <w:tcPr>
            <w:tcW w:w="1430" w:type="dxa"/>
            <w:tcBorders>
              <w:bottom w:val="single" w:sz="8" w:space="0" w:color="000000"/>
              <w:end w:val="single" w:sz="8" w:space="0" w:color="000000"/>
            </w:tcBorders>
          </w:tcPr>
          <w:p>
            <w:pPr>
              <w:pStyle w:val="Normal"/>
              <w:bidi w:val="0"/>
              <w:spacing w:before="0" w:after="0"/>
              <w:jc w:val="center"/>
              <w:rPr/>
            </w:pPr>
            <w:r>
              <w:rPr/>
              <w:t>Kiểm định thuốc</w:t>
            </w:r>
          </w:p>
        </w:tc>
      </w:tr>
      <w:tr>
        <w:trPr/>
        <w:tc>
          <w:tcPr>
            <w:tcW w:w="886" w:type="dxa"/>
            <w:tcBorders>
              <w:start w:val="single" w:sz="8" w:space="0" w:color="000000"/>
              <w:bottom w:val="single" w:sz="8" w:space="0" w:color="000000"/>
              <w:end w:val="single" w:sz="8" w:space="0" w:color="000000"/>
            </w:tcBorders>
          </w:tcPr>
          <w:p>
            <w:pPr>
              <w:pStyle w:val="Normal"/>
              <w:bidi w:val="0"/>
              <w:spacing w:before="0" w:after="0"/>
              <w:jc w:val="center"/>
              <w:rPr/>
            </w:pPr>
            <w:r>
              <w:rPr/>
              <w:t>5</w:t>
            </w:r>
          </w:p>
        </w:tc>
        <w:tc>
          <w:tcPr>
            <w:tcW w:w="4453" w:type="dxa"/>
            <w:tcBorders>
              <w:bottom w:val="single" w:sz="8" w:space="0" w:color="000000"/>
              <w:end w:val="single" w:sz="8" w:space="0" w:color="000000"/>
            </w:tcBorders>
          </w:tcPr>
          <w:p>
            <w:pPr>
              <w:pStyle w:val="Normal"/>
              <w:bidi w:val="0"/>
              <w:spacing w:before="0" w:after="0"/>
              <w:rPr/>
            </w:pPr>
            <w:r>
              <w:rPr/>
              <w:t>Thuốc bảo vệ thực vật - Xác định hàm lượng hoạt chất Tanin bằng phương pháp quang phổ UV-VIS</w:t>
            </w:r>
          </w:p>
        </w:tc>
        <w:tc>
          <w:tcPr>
            <w:tcW w:w="1996" w:type="dxa"/>
            <w:tcBorders>
              <w:bottom w:val="single" w:sz="8" w:space="0" w:color="000000"/>
              <w:end w:val="single" w:sz="8" w:space="0" w:color="000000"/>
            </w:tcBorders>
          </w:tcPr>
          <w:p>
            <w:pPr>
              <w:pStyle w:val="Normal"/>
              <w:bidi w:val="0"/>
              <w:spacing w:before="0" w:after="0"/>
              <w:jc w:val="center"/>
              <w:rPr/>
            </w:pPr>
            <w:r>
              <w:rPr/>
              <w:t>TCCS 1017:</w:t>
              <w:br/>
              <w:t>2026/TTBVTV</w:t>
            </w:r>
          </w:p>
        </w:tc>
        <w:tc>
          <w:tcPr>
            <w:tcW w:w="1207" w:type="dxa"/>
            <w:tcBorders>
              <w:bottom w:val="single" w:sz="8" w:space="0" w:color="000000"/>
              <w:end w:val="single" w:sz="8" w:space="0" w:color="000000"/>
            </w:tcBorders>
          </w:tcPr>
          <w:p>
            <w:pPr>
              <w:pStyle w:val="Normal"/>
              <w:bidi w:val="0"/>
              <w:spacing w:before="0" w:after="0"/>
              <w:jc w:val="center"/>
              <w:rPr/>
            </w:pPr>
            <w:r>
              <w:rPr/>
              <w:t>Xây dựng mới</w:t>
            </w:r>
          </w:p>
        </w:tc>
        <w:tc>
          <w:tcPr>
            <w:tcW w:w="1430" w:type="dxa"/>
            <w:tcBorders>
              <w:bottom w:val="single" w:sz="8" w:space="0" w:color="000000"/>
              <w:end w:val="single" w:sz="8" w:space="0" w:color="000000"/>
            </w:tcBorders>
          </w:tcPr>
          <w:p>
            <w:pPr>
              <w:pStyle w:val="Normal"/>
              <w:bidi w:val="0"/>
              <w:spacing w:before="0" w:after="0"/>
              <w:jc w:val="center"/>
              <w:rPr/>
            </w:pPr>
            <w:r>
              <w:rPr/>
              <w:t>Kiểm định thuốc</w:t>
            </w:r>
          </w:p>
        </w:tc>
      </w:tr>
    </w:tbl>
    <w:p>
      <w:pPr>
        <w:pStyle w:val="Normal"/>
        <w:bidi w:val="0"/>
        <w:spacing w:before="0" w:after="12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