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0" w:type="dxa"/>
        <w:tblLayout w:type="fixed"/>
        <w:tblCellMar>
          <w:top w:w="0" w:type="dxa"/>
          <w:start w:w="108" w:type="dxa"/>
          <w:bottom w:w="0" w:type="dxa"/>
          <w:end w:w="108" w:type="dxa"/>
        </w:tblCellMar>
      </w:tblPr>
      <w:tblGrid>
        <w:gridCol w:w="3365"/>
        <w:gridCol w:w="6607"/>
      </w:tblGrid>
      <w:tr>
        <w:trPr/>
        <w:tc>
          <w:tcPr>
            <w:tcW w:w="3365" w:type="dxa"/>
            <w:tcBorders/>
          </w:tcPr>
          <w:p>
            <w:pPr>
              <w:pStyle w:val="Normal"/>
              <w:bidi w:val="0"/>
              <w:spacing w:before="0" w:after="0"/>
              <w:jc w:val="center"/>
              <w:rPr/>
            </w:pPr>
            <w:r>
              <w:rPr>
                <w:b/>
                <w:bCs/>
                <w:sz w:val="20"/>
              </w:rPr>
              <w:t xml:space="preserve">ỦY BAN NHÂN DÂN </w:t>
              <w:br/>
              <w:t>TỈNH SƠN LA</w:t>
              <w:br/>
              <w:t>--------</w:t>
            </w:r>
          </w:p>
        </w:tc>
        <w:tc>
          <w:tcPr>
            <w:tcW w:w="6607" w:type="dxa"/>
            <w:tcBorders/>
          </w:tcPr>
          <w:p>
            <w:pPr>
              <w:pStyle w:val="Normal"/>
              <w:bidi w:val="0"/>
              <w:spacing w:before="0" w:after="0"/>
              <w:jc w:val="center"/>
              <w:rPr/>
            </w:pPr>
            <w:r>
              <w:rPr>
                <w:b/>
                <w:bCs/>
                <w:sz w:val="20"/>
              </w:rPr>
              <w:t>CỘNG HÒA XÃ HỘI CHỦ NGHĨA VIỆT NAM</w:t>
              <w:br/>
              <w:t xml:space="preserve">Độc lập - Tự do - Hạnh phúc </w:t>
              <w:br/>
              <w:t>---------------</w:t>
            </w:r>
          </w:p>
        </w:tc>
      </w:tr>
      <w:tr>
        <w:trPr/>
        <w:tc>
          <w:tcPr>
            <w:tcW w:w="3365" w:type="dxa"/>
            <w:tcBorders/>
          </w:tcPr>
          <w:p>
            <w:pPr>
              <w:pStyle w:val="Normal"/>
              <w:bidi w:val="0"/>
              <w:spacing w:before="0" w:after="0"/>
              <w:jc w:val="center"/>
              <w:rPr/>
            </w:pPr>
            <w:r>
              <w:rPr>
                <w:sz w:val="20"/>
              </w:rPr>
              <w:t>Số: 10/CT-UBND</w:t>
            </w:r>
          </w:p>
        </w:tc>
        <w:tc>
          <w:tcPr>
            <w:tcW w:w="6607" w:type="dxa"/>
            <w:tcBorders/>
          </w:tcPr>
          <w:p>
            <w:pPr>
              <w:pStyle w:val="Normal"/>
              <w:bidi w:val="0"/>
              <w:spacing w:before="0" w:after="0"/>
              <w:jc w:val="end"/>
              <w:rPr/>
            </w:pPr>
            <w:r>
              <w:rPr>
                <w:i/>
                <w:iCs/>
                <w:sz w:val="20"/>
              </w:rPr>
              <w:t>Sơn La, ngày 11 tháng 03 năm 2026</w:t>
            </w:r>
          </w:p>
        </w:tc>
      </w:tr>
    </w:tbl>
    <w:p>
      <w:pPr>
        <w:pStyle w:val="Normal"/>
        <w:bidi w:val="0"/>
        <w:spacing w:before="0" w:after="120"/>
        <w:rPr>
          <w:sz w:val="20"/>
        </w:rPr>
      </w:pPr>
      <w:r>
        <w:rPr>
          <w:sz w:val="20"/>
        </w:rPr>
        <w:t> </w:t>
      </w:r>
    </w:p>
    <w:p>
      <w:pPr>
        <w:pStyle w:val="Normal"/>
        <w:bidi w:val="0"/>
        <w:spacing w:before="0" w:after="120"/>
        <w:jc w:val="center"/>
        <w:rPr>
          <w:b/>
          <w:bCs/>
          <w:sz w:val="24"/>
        </w:rPr>
      </w:pPr>
      <w:r>
        <w:rPr>
          <w:b/>
          <w:bCs/>
          <w:sz w:val="24"/>
        </w:rPr>
        <w:t>CHỈ THỊ</w:t>
      </w:r>
    </w:p>
    <w:p>
      <w:pPr>
        <w:pStyle w:val="Normal"/>
        <w:bidi w:val="0"/>
        <w:spacing w:before="0" w:after="120"/>
        <w:jc w:val="center"/>
        <w:rPr>
          <w:sz w:val="20"/>
        </w:rPr>
      </w:pPr>
      <w:r>
        <w:rPr>
          <w:sz w:val="20"/>
        </w:rPr>
        <w:t>VỀ VIỆC TĂNG CƯỜNG CÁC BIỆN PHÁP BẢO ĐẢM CUNG ỨNG XĂNG DẦU, KHÍ ĐỐT TRÊN ĐỊA BÀN TỈNH SƠN LA NĂM 2026</w:t>
      </w:r>
    </w:p>
    <w:p>
      <w:pPr>
        <w:pStyle w:val="Normal"/>
        <w:bidi w:val="0"/>
        <w:spacing w:before="0" w:after="120"/>
        <w:rPr>
          <w:sz w:val="20"/>
        </w:rPr>
      </w:pPr>
      <w:r>
        <w:rPr>
          <w:sz w:val="20"/>
        </w:rPr>
        <w:t>Thực hiện Thông báo số 101/TB-VPCP ngày 05 tháng 3 năm 2026 của Văn phòng Chính phủ về Kết luận của Phó Thủ tướng Hồ Đức Phớc - Trưởng Ban Chỉ đạo điều hành giá tại cuộc họp Ban Chỉ đạo về kết quả công tác quản lý, điều hành giá Quý IV và cả năm 2025, định hướng công tác điều hành giá năm 2026; Công văn số 1415/BCT-TTTN ngày 06 tháng 3 năm 2026 của Bộ Công Thương về tăng cường kiểm tra, kiểm soát hoạt động kinh doanh xăng dầu trong bối cảnh tình hình quốc tế diễn biến phức tạp; Công văn số 1487/BCT-TTTN ngày 09 tháng 3 năm 2026 của Bộ Công Thương về đảm bảo an ninh năng lượng trước diễn biến phức tạp của cuộc xung đột quân sự tại Trung Đông.</w:t>
      </w:r>
    </w:p>
    <w:p>
      <w:pPr>
        <w:pStyle w:val="Normal"/>
        <w:bidi w:val="0"/>
        <w:spacing w:before="0" w:after="120"/>
        <w:rPr>
          <w:sz w:val="20"/>
        </w:rPr>
      </w:pPr>
      <w:r>
        <w:rPr>
          <w:sz w:val="20"/>
        </w:rPr>
        <w:t>Trong bối cảnh tình hình địa chính trị thế giới tiếp tục có những diễn biến phức tạp, xung đột vũ trang tại các khu vực trọng điểm ảnh hưởng trực tiếp đến chuỗi cung ứng năng lượng toàn cầu, gây biến động về giá cả và nguồn cung xăng dầu trong nước. Để chủ động đảm bảo an ninh năng lượng, phục vụ nhu cầu sản xuất, kinh doanh và đời sống của nhân dân trên địa bàn tỉnh.</w:t>
      </w:r>
    </w:p>
    <w:p>
      <w:pPr>
        <w:pStyle w:val="Normal"/>
        <w:bidi w:val="0"/>
        <w:spacing w:before="0" w:after="120"/>
        <w:rPr>
          <w:sz w:val="20"/>
        </w:rPr>
      </w:pPr>
      <w:r>
        <w:rPr>
          <w:sz w:val="20"/>
        </w:rPr>
        <w:t>Theo đề nghị của Sở Công Thương tại Tờ trình số 80/TTr-SCT ngày 10/3/2026. Chủ tịch Ủy ban nhân dân tỉnh yêu cầu các sở, ngành, cơ quan liên quan và các thương nhân kinh doanh xăng dầu, khí đốt hóa lỏng (LPG) khẩn trương thực hiện các nhiệm vụ sau:</w:t>
      </w:r>
    </w:p>
    <w:p>
      <w:pPr>
        <w:pStyle w:val="Normal"/>
        <w:bidi w:val="0"/>
        <w:spacing w:before="0" w:after="120"/>
        <w:rPr>
          <w:b/>
          <w:bCs/>
          <w:sz w:val="20"/>
        </w:rPr>
      </w:pPr>
      <w:r>
        <w:rPr>
          <w:b/>
          <w:bCs/>
          <w:sz w:val="20"/>
        </w:rPr>
        <w:t>1. Sở Công Thương</w:t>
      </w:r>
    </w:p>
    <w:p>
      <w:pPr>
        <w:pStyle w:val="Normal"/>
        <w:bidi w:val="0"/>
        <w:spacing w:before="0" w:after="120"/>
        <w:rPr>
          <w:sz w:val="20"/>
        </w:rPr>
      </w:pPr>
      <w:r>
        <w:rPr>
          <w:sz w:val="20"/>
        </w:rPr>
        <w:t>Chủ trì, phối hợp với các cơ quan liên quan theo dõi sát diễn biến thị trường, nắm chắc nguồn cung, dự trữ xăng dầu, LPG trên địa bàn; kịp thời tham mưu, đề xuất với UBND tỉnh các biện pháp điều tiết, ứng phó khi có biến động bất thường về nguồn cung.</w:t>
      </w:r>
    </w:p>
    <w:p>
      <w:pPr>
        <w:pStyle w:val="Normal"/>
        <w:bidi w:val="0"/>
        <w:spacing w:before="0" w:after="120"/>
        <w:rPr>
          <w:sz w:val="20"/>
        </w:rPr>
      </w:pPr>
      <w:r>
        <w:rPr>
          <w:sz w:val="20"/>
        </w:rPr>
        <w:t>Chỉ đạo các doanh nghiệp kinh doanh xăng dầu ưu tiên cung cấp đủ nhiên liệu phục vụ cho việc thi công, xây dựng các dự án đầu tư công trọng điểm, đả m bảo không làm gián đoạn tiến độ trong mọi tình huống.</w:t>
      </w:r>
    </w:p>
    <w:p>
      <w:pPr>
        <w:pStyle w:val="Normal"/>
        <w:bidi w:val="0"/>
        <w:spacing w:before="0" w:after="120"/>
        <w:rPr>
          <w:sz w:val="20"/>
        </w:rPr>
      </w:pPr>
      <w:r>
        <w:rPr>
          <w:sz w:val="20"/>
        </w:rPr>
        <w:t>Thực hiện cải cách hành chính, rút ngắn thời gian giải quyết các thủ tục cấp, sửa đổi Giấy chứng nhận đủ điều kiện kinh doanh xăng dầu để hỗ trợ doanh nghiệp kịp thời thay đổi thương nhân cung ứng khi cần thiết.</w:t>
      </w:r>
    </w:p>
    <w:p>
      <w:pPr>
        <w:pStyle w:val="Normal"/>
        <w:bidi w:val="0"/>
        <w:spacing w:before="0" w:after="120"/>
        <w:rPr>
          <w:sz w:val="20"/>
        </w:rPr>
      </w:pPr>
      <w:r>
        <w:rPr>
          <w:sz w:val="20"/>
        </w:rPr>
        <w:t>Chỉ đạo lực lượng Quản lý thị trường triển khai thực hiện các biện pháp nghiệp vụ quản lý thị trường, giám sát để kịp thời nắm bắt diễn biến tình hình thị trường, cung - cầu, giá bán xăng dầu, LPG; các dấu hiệu bất thường như: khan hiếm hàng hóa, gián đoạn nguồn cung; găm hàng, tăng giá bất hợp lý. Tiến hành xử lý nghiêm khắc, kịp thời mọi hành vi vi phạm theo quy định của pháp luật.</w:t>
      </w:r>
    </w:p>
    <w:p>
      <w:pPr>
        <w:pStyle w:val="Normal"/>
        <w:bidi w:val="0"/>
        <w:spacing w:before="0" w:after="120"/>
        <w:rPr>
          <w:b/>
          <w:bCs/>
          <w:sz w:val="20"/>
        </w:rPr>
      </w:pPr>
      <w:r>
        <w:rPr>
          <w:b/>
          <w:bCs/>
          <w:sz w:val="20"/>
        </w:rPr>
        <w:t>2. Sở Xây dựng</w:t>
      </w:r>
    </w:p>
    <w:p>
      <w:pPr>
        <w:pStyle w:val="Normal"/>
        <w:bidi w:val="0"/>
        <w:spacing w:before="0" w:after="120"/>
        <w:rPr>
          <w:sz w:val="20"/>
        </w:rPr>
      </w:pPr>
      <w:r>
        <w:rPr>
          <w:sz w:val="20"/>
        </w:rPr>
        <w:t>Thường xuyên rà soát cập nhật thông tin danh mục các dự án đầu tư công trọng điểm, dự án sản xuất, khai thác khoáng sản làm vật liệu xây dựng thông thường trên địa bàn tỉnh gửi Sở Công Thương để có phương án điều tiết cung ứng xăng dầu, hạn chế thấp nhất việc ảnh hưởng đến tiến độ các dự án. Thông báo tới các chủ đầu tư, nhà thầu thi công các dự án đầu tư công trọng điểm chủ động liên hệ với Công ty TNHH MTV Petrolimex Sơn La để thỏa thuận, thống nhất phương án điều tiết, cung ứng xăng dầu kịp thời.</w:t>
      </w:r>
    </w:p>
    <w:p>
      <w:pPr>
        <w:pStyle w:val="Normal"/>
        <w:bidi w:val="0"/>
        <w:spacing w:before="0" w:after="120"/>
        <w:rPr>
          <w:sz w:val="20"/>
        </w:rPr>
      </w:pPr>
      <w:r>
        <w:rPr>
          <w:sz w:val="20"/>
        </w:rPr>
        <w:t>Phối hợp tạo điều kiện thuận lợi cho hoạt động vận chuyển, phân phối xăng dầu và khí trên địa bàn.</w:t>
      </w:r>
    </w:p>
    <w:p>
      <w:pPr>
        <w:pStyle w:val="Normal"/>
        <w:bidi w:val="0"/>
        <w:spacing w:before="0" w:after="120"/>
        <w:rPr>
          <w:sz w:val="20"/>
        </w:rPr>
      </w:pPr>
      <w:r>
        <w:rPr>
          <w:sz w:val="20"/>
        </w:rPr>
        <w:t>Chỉ đạo các phòng, đơn vị trực thuộc tăng cường công tác quản lý, giám sát việc kê khai, niêm yết giá cước vận tải.</w:t>
      </w:r>
    </w:p>
    <w:p>
      <w:pPr>
        <w:pStyle w:val="Normal"/>
        <w:bidi w:val="0"/>
        <w:spacing w:before="0" w:after="120"/>
        <w:rPr>
          <w:b/>
          <w:bCs/>
          <w:sz w:val="20"/>
        </w:rPr>
      </w:pPr>
      <w:r>
        <w:rPr>
          <w:b/>
          <w:bCs/>
          <w:sz w:val="20"/>
        </w:rPr>
        <w:t>3. Sở Khoa học và Công nghệ</w:t>
      </w:r>
    </w:p>
    <w:p>
      <w:pPr>
        <w:pStyle w:val="Normal"/>
        <w:bidi w:val="0"/>
        <w:spacing w:before="0" w:after="120"/>
        <w:rPr>
          <w:sz w:val="20"/>
        </w:rPr>
      </w:pPr>
      <w:r>
        <w:rPr>
          <w:sz w:val="20"/>
        </w:rPr>
        <w:t>Phối hợp với các lực lượng chức năng kiểm tra về đo lường, chất lượng xăng dầu lưu thông trên thị trường. Kịp thời phát hiện và chấn chỉnh các hành vi gian lận về đo lường, sử dụng các thiết bị tác động vào cột bơm để làm sai lệch kết quả đo lường nhằm gây thiệt hại cho người tiêu dùng.</w:t>
      </w:r>
    </w:p>
    <w:p>
      <w:pPr>
        <w:pStyle w:val="Normal"/>
        <w:bidi w:val="0"/>
        <w:spacing w:before="0" w:after="120"/>
        <w:rPr>
          <w:b/>
          <w:bCs/>
          <w:sz w:val="20"/>
        </w:rPr>
      </w:pPr>
      <w:r>
        <w:rPr>
          <w:b/>
          <w:bCs/>
          <w:sz w:val="20"/>
        </w:rPr>
        <w:t>4. Công an tỉnh</w:t>
      </w:r>
    </w:p>
    <w:p>
      <w:pPr>
        <w:pStyle w:val="Normal"/>
        <w:bidi w:val="0"/>
        <w:spacing w:before="0" w:after="120"/>
        <w:rPr>
          <w:sz w:val="20"/>
        </w:rPr>
      </w:pPr>
      <w:r>
        <w:rPr>
          <w:sz w:val="20"/>
        </w:rPr>
        <w:t>Chỉ đạo các đơn vị nghiệp vụ, lực lượng công an tại các xã, phường đấu tranh với các loại tội phạm buôn lậu, gian lận thương mại, găm hàng trục lợi đối với các mặt hàng xăng dầu, LPG. Tăng cường công tác giám sát địa bàn nhằm phát hiện xử lý các trường hợp lợi dụng tình hình để găm hàng, tăng giá trục lợi; đảm bảo an ninh trật tự tại các cửa hàng xăng dầu trên địa bàn.</w:t>
      </w:r>
    </w:p>
    <w:p>
      <w:pPr>
        <w:pStyle w:val="Normal"/>
        <w:bidi w:val="0"/>
        <w:spacing w:before="0" w:after="120"/>
        <w:rPr>
          <w:sz w:val="20"/>
        </w:rPr>
      </w:pPr>
      <w:r>
        <w:rPr>
          <w:sz w:val="20"/>
        </w:rPr>
        <w:t>Phối hợp giám sát công tác phòng cháy chữa cháy tại các cửa hàng xăng dầu, ngăn chặn tình trạng người dân đổ xô đi mua xăng dầu tích trữ vào các vật dụng gây mất an ninh trật tự và nguy cơ cháy nổ trong khu dân cư.</w:t>
      </w:r>
    </w:p>
    <w:p>
      <w:pPr>
        <w:pStyle w:val="Normal"/>
        <w:bidi w:val="0"/>
        <w:spacing w:before="0" w:after="120"/>
        <w:rPr>
          <w:b/>
          <w:bCs/>
          <w:sz w:val="20"/>
        </w:rPr>
      </w:pPr>
      <w:r>
        <w:rPr>
          <w:b/>
          <w:bCs/>
          <w:sz w:val="20"/>
        </w:rPr>
        <w:t>5. Báo và Phát thanh truyền hình tỉnh, Trung tâm thông tin - Văn phòng UBND tỉnh</w:t>
      </w:r>
    </w:p>
    <w:p>
      <w:pPr>
        <w:pStyle w:val="Normal"/>
        <w:bidi w:val="0"/>
        <w:spacing w:before="0" w:after="120"/>
        <w:rPr>
          <w:sz w:val="20"/>
        </w:rPr>
      </w:pPr>
      <w:r>
        <w:rPr>
          <w:sz w:val="20"/>
        </w:rPr>
        <w:t>Thông tin đến người dân về: Công tác đảm bảo nguồn cung xăng dầu trên địa bàn tỉnh; khuyến cáo người dân không hoang mang, không tích trữ xăng dầu tiềm ẩn nguy cơ gây mất an toàn phòng chống cháy nổ; đồng thời khuyến khích người dân sử dụng tiết kiệm nhiên liệu xăng, dầu, ưu tiên sử dụng các phương tiện công cộng, xe điện để góp phần giảm áp lực lên nguồn cung xăng dầu trong tình hình hiện nay.</w:t>
      </w:r>
    </w:p>
    <w:p>
      <w:pPr>
        <w:pStyle w:val="Normal"/>
        <w:bidi w:val="0"/>
        <w:spacing w:before="0" w:after="120"/>
        <w:rPr>
          <w:b/>
          <w:bCs/>
          <w:sz w:val="20"/>
        </w:rPr>
      </w:pPr>
      <w:r>
        <w:rPr>
          <w:b/>
          <w:bCs/>
          <w:sz w:val="20"/>
        </w:rPr>
        <w:t>6. UBND các xã, phường</w:t>
      </w:r>
    </w:p>
    <w:p>
      <w:pPr>
        <w:pStyle w:val="Normal"/>
        <w:bidi w:val="0"/>
        <w:spacing w:before="0" w:after="120"/>
        <w:rPr>
          <w:sz w:val="20"/>
        </w:rPr>
      </w:pPr>
      <w:r>
        <w:rPr>
          <w:sz w:val="20"/>
        </w:rPr>
        <w:t>Chủ động nắm bắt tình hình hoạt động bán lẻ xăng dầu, LPG trên địa bàn, kịp thời phát hiện các trường hợp ngừng bán, tự ý cắt giảm thời gian bán hàng mà không có lý do chính đáng. Xử lý theo thẩm quyền hoặc chuyển thông tin, vụ việc đến cơ quan, người có thẩm quyền để xử lý đối với các hành vi vi phạm (nếu có) theo đúng quy định của pháp luật.</w:t>
      </w:r>
    </w:p>
    <w:p>
      <w:pPr>
        <w:pStyle w:val="Normal"/>
        <w:bidi w:val="0"/>
        <w:spacing w:before="0" w:after="120"/>
        <w:rPr>
          <w:sz w:val="20"/>
        </w:rPr>
      </w:pPr>
      <w:r>
        <w:rPr>
          <w:sz w:val="20"/>
        </w:rPr>
        <w:t>Phối hợp với các cơ quan chức năng trong công tác kiểm tra, giám sát hoạt động kinh doanh xăng dầu, khí trên địa bàn.</w:t>
      </w:r>
    </w:p>
    <w:p>
      <w:pPr>
        <w:pStyle w:val="Normal"/>
        <w:bidi w:val="0"/>
        <w:spacing w:before="0" w:after="120"/>
        <w:rPr>
          <w:sz w:val="20"/>
        </w:rPr>
      </w:pPr>
      <w:r>
        <w:rPr>
          <w:sz w:val="20"/>
        </w:rPr>
        <w:t>Tổ chức tuyên truyền cho người dân trên địa bàn không thực hiện việc tích trữ xăng dầu vào can, thùng với số lượng lớn gây mất an toàn phòng cháy chữa cháy, cũng như gây ra tâm lý hoang mang và ảnh hưởng an ninh trật tự.</w:t>
      </w:r>
    </w:p>
    <w:p>
      <w:pPr>
        <w:pStyle w:val="Normal"/>
        <w:bidi w:val="0"/>
        <w:spacing w:before="0" w:after="120"/>
        <w:rPr>
          <w:b/>
          <w:bCs/>
          <w:sz w:val="20"/>
        </w:rPr>
      </w:pPr>
      <w:r>
        <w:rPr>
          <w:b/>
          <w:bCs/>
          <w:sz w:val="20"/>
        </w:rPr>
        <w:t>7. Các đại lý bán lẻ xăng dầu, thương nhân nhận quyền thương mại trên địa bàn tỉnh</w:t>
      </w:r>
    </w:p>
    <w:p>
      <w:pPr>
        <w:pStyle w:val="Normal"/>
        <w:bidi w:val="0"/>
        <w:spacing w:before="0" w:after="120"/>
        <w:rPr>
          <w:sz w:val="20"/>
        </w:rPr>
      </w:pPr>
      <w:r>
        <w:rPr>
          <w:sz w:val="20"/>
        </w:rPr>
        <w:t>Thực hiện nghiêm túc việc đăng ký và niêm yết giờ bán hàng, trường hợp có nhu cầu thay đổi thời gian bán hàng hoặc tạm dừng bán hàng phải có thông báo tới Sở Công Thương trước khi tạm dừng bán xăng dầu.</w:t>
      </w:r>
    </w:p>
    <w:p>
      <w:pPr>
        <w:pStyle w:val="Normal"/>
        <w:bidi w:val="0"/>
        <w:spacing w:before="0" w:after="120"/>
        <w:rPr>
          <w:sz w:val="20"/>
        </w:rPr>
      </w:pPr>
      <w:r>
        <w:rPr>
          <w:sz w:val="20"/>
        </w:rPr>
        <w:t>Căn cứ vào diễn biến thị trường xăng dầu, nhu cầu tiêu thụ và lượng xăng dầu tồn kho, có kế hoạch chủ động nhập xăng dầu, thay thế, điều chỉnh thương nhân cung ứng xăng dầu (theo đúng quy định) để việc bán hàng không bị gián đoạn.</w:t>
      </w:r>
    </w:p>
    <w:p>
      <w:pPr>
        <w:pStyle w:val="Normal"/>
        <w:bidi w:val="0"/>
        <w:spacing w:before="0" w:after="120"/>
        <w:rPr>
          <w:sz w:val="20"/>
        </w:rPr>
      </w:pPr>
      <w:r>
        <w:rPr>
          <w:sz w:val="20"/>
        </w:rPr>
        <w:t>Trong trường hợp, các thương nhân phân phối xăng dầu có dấu hiệu từ chối, gây khó khăn trong việc cấp hàng, không thực hiện đúng nội dung hợp đồng, đề nghị các doanh nghiệp kịp thời thông báo, phản ánh tới Sở Công Thương để xác minh và kiến nghị các cơ quan có thẩm quyền xem xét, giải quyết.</w:t>
      </w:r>
    </w:p>
    <w:p>
      <w:pPr>
        <w:pStyle w:val="Normal"/>
        <w:bidi w:val="0"/>
        <w:spacing w:before="0" w:after="120"/>
        <w:rPr>
          <w:b/>
          <w:bCs/>
          <w:sz w:val="20"/>
        </w:rPr>
      </w:pPr>
      <w:r>
        <w:rPr>
          <w:b/>
          <w:bCs/>
          <w:sz w:val="20"/>
        </w:rPr>
        <w:t>8. Công ty TNHH MTV Petrolimex Sơn La</w:t>
      </w:r>
    </w:p>
    <w:p>
      <w:pPr>
        <w:pStyle w:val="Normal"/>
        <w:bidi w:val="0"/>
        <w:spacing w:before="0" w:after="120"/>
        <w:rPr>
          <w:sz w:val="20"/>
        </w:rPr>
      </w:pPr>
      <w:r>
        <w:rPr>
          <w:sz w:val="20"/>
        </w:rPr>
        <w:t>Ngoài các nội dung nêu tại mục 7 của Chỉ thị này, đề nghị Công ty TNHH MTV Petrolimex Sơn La: Chủ động xây dựng kế hoạch dự trữ, đăng ký nguồn hàng, đảm bảo cung cấp đầy đủ xăng dầu cho hệ thống các cửa hàng thuộc sở hữu và hệ thống nhượng quyền thương mại trực thuộc; cam kết ưu tiên việc cung ứng xăng dầu</w:t>
      </w:r>
    </w:p>
    <w:p>
      <w:pPr>
        <w:pStyle w:val="Normal"/>
        <w:bidi w:val="0"/>
        <w:spacing w:before="0" w:after="120"/>
        <w:rPr>
          <w:sz w:val="20"/>
        </w:rPr>
      </w:pPr>
      <w:r>
        <w:rPr>
          <w:sz w:val="20"/>
        </w:rPr>
        <w:t>cho các dự án đầu tư công trọng điểm, dự án sản xuất, khai thác khoáng sản làm vật liệu xây dựng thông thường, dự án đầu tư công trình năng lượng trên địa bàn trong các trường hợp xảy ra khan hiếm xăng dầu; chú trọng hỗ trợ nguồn cung, có phương án điều tiết nguồn hàng hợp lý trong hệ thống phân phối, bảo đảm duy trì hoạt động cung ứng xăng dầu ổn định trên địa bàn tỉnh.</w:t>
      </w:r>
    </w:p>
    <w:p>
      <w:pPr>
        <w:pStyle w:val="Normal"/>
        <w:bidi w:val="0"/>
        <w:spacing w:before="0" w:after="120"/>
        <w:rPr>
          <w:i/>
          <w:iCs/>
          <w:sz w:val="20"/>
        </w:rPr>
      </w:pPr>
      <w:r>
        <w:rPr>
          <w:i/>
          <w:iCs/>
          <w:sz w:val="20"/>
        </w:rPr>
        <w:t> </w:t>
      </w:r>
      <w:r>
        <w:rPr>
          <w:i/>
          <w:iCs/>
          <w:sz w:val="20"/>
        </w:rPr>
        <w:t>(Có danh mục dự án trọng điểm kèm theo)</w:t>
      </w:r>
    </w:p>
    <w:p>
      <w:pPr>
        <w:pStyle w:val="Normal"/>
        <w:bidi w:val="0"/>
        <w:spacing w:before="0" w:after="120"/>
        <w:rPr>
          <w:sz w:val="20"/>
        </w:rPr>
      </w:pPr>
      <w:r>
        <w:rPr>
          <w:sz w:val="20"/>
        </w:rPr>
        <w:t>Chủ tịch UBND tỉnh yêu cầu thủ trưởng các cơ quan, đơn vị và các tổ chức, cá nhân có liên quan nghiêm túc triển khai thực hiện Chỉ thị này./.</w:t>
      </w:r>
    </w:p>
    <w:p>
      <w:pPr>
        <w:pStyle w:val="Normal"/>
        <w:bidi w:val="0"/>
        <w:spacing w:before="0" w:after="120"/>
        <w:rPr>
          <w:sz w:val="20"/>
        </w:rPr>
      </w:pPr>
      <w:r>
        <w:rPr>
          <w:sz w:val="20"/>
        </w:rPr>
        <w:t> </w:t>
      </w:r>
    </w:p>
    <w:tbl>
      <w:tblPr>
        <w:tblW w:w="8640" w:type="dxa"/>
        <w:jc w:val="start"/>
        <w:tblInd w:w="0" w:type="dxa"/>
        <w:tblLayout w:type="fixed"/>
        <w:tblCellMar>
          <w:top w:w="0" w:type="dxa"/>
          <w:start w:w="108" w:type="dxa"/>
          <w:bottom w:w="0" w:type="dxa"/>
          <w:end w:w="108" w:type="dxa"/>
        </w:tblCellMar>
      </w:tblPr>
      <w:tblGrid>
        <w:gridCol w:w="3985"/>
        <w:gridCol w:w="4655"/>
      </w:tblGrid>
      <w:tr>
        <w:trPr/>
        <w:tc>
          <w:tcPr>
            <w:tcW w:w="3985" w:type="dxa"/>
            <w:tcBorders/>
          </w:tcPr>
          <w:p>
            <w:pPr>
              <w:pStyle w:val="Normal"/>
              <w:bidi w:val="0"/>
              <w:spacing w:before="0" w:after="120"/>
              <w:rPr>
                <w:sz w:val="16"/>
              </w:rPr>
            </w:pPr>
            <w:r>
              <w:rPr>
                <w:sz w:val="16"/>
              </w:rPr>
              <w:t> </w:t>
            </w:r>
          </w:p>
          <w:p>
            <w:pPr>
              <w:pStyle w:val="Normal"/>
              <w:bidi w:val="0"/>
              <w:spacing w:before="0" w:after="0"/>
              <w:rPr/>
            </w:pPr>
            <w:r>
              <w:rPr>
                <w:b/>
                <w:bCs/>
                <w:i/>
                <w:iCs/>
                <w:sz w:val="20"/>
              </w:rPr>
              <w:t>Nơi nhận:</w:t>
              <w:br/>
            </w:r>
            <w:r>
              <w:rPr>
                <w:sz w:val="16"/>
              </w:rPr>
              <w:t>- Bộ Công Thương (b/c);</w:t>
              <w:br/>
              <w:t>- TT. Tỉnh ủy (b/c);</w:t>
              <w:br/>
              <w:t>- TT. HĐND tỉnh (b/c);</w:t>
              <w:br/>
              <w:t>- UB MTTQ Việt Nam tỉnh;</w:t>
              <w:br/>
              <w:t>- Chủ tịch UBND tỉnh;</w:t>
              <w:br/>
              <w:t>- Các Phó Chủ tịch UBND tỉnh;</w:t>
              <w:br/>
              <w:t>- Ban Chỉ đạo 389 tỉnh;</w:t>
              <w:br/>
              <w:t>- Các Sở, ban, ngành cấp tỉnh;</w:t>
              <w:br/>
              <w:t>- Đảng ủy các xã, phường (phối hợp chỉ đạo);</w:t>
              <w:br/>
              <w:t>- UBND các xã, phường;</w:t>
              <w:br/>
              <w:t>- Báo và PTTH tỉnh; Cổng Thông tin điện tử tỉnh;</w:t>
              <w:br/>
              <w:t>- Lãnh đạo Văn phòng UBND tỉnh;</w:t>
              <w:br/>
              <w:t>- Lưu: VT, Biên KT.</w:t>
            </w:r>
          </w:p>
        </w:tc>
        <w:tc>
          <w:tcPr>
            <w:tcW w:w="4655" w:type="dxa"/>
            <w:tcBorders/>
          </w:tcPr>
          <w:p>
            <w:pPr>
              <w:pStyle w:val="Normal"/>
              <w:bidi w:val="0"/>
              <w:spacing w:before="0" w:after="0"/>
              <w:jc w:val="center"/>
              <w:rPr/>
            </w:pPr>
            <w:r>
              <w:rPr>
                <w:b/>
                <w:bCs/>
                <w:sz w:val="20"/>
              </w:rPr>
              <w:t>CHỦ TỊCH</w:t>
            </w:r>
            <w:r>
              <w:rPr>
                <w:sz w:val="20"/>
              </w:rPr>
              <w:br/>
              <w:br/>
              <w:br/>
              <w:br/>
              <w:br/>
            </w:r>
            <w:r>
              <w:rPr>
                <w:b/>
                <w:bCs/>
                <w:sz w:val="20"/>
              </w:rPr>
              <w:t>Nguyễn Đình Việt</w:t>
            </w:r>
            <w:r>
              <w:rPr>
                <w:sz w:val="20"/>
              </w:rPr>
              <w:br/>
            </w:r>
          </w:p>
        </w:tc>
      </w:tr>
    </w:tbl>
    <w:p>
      <w:pPr>
        <w:pStyle w:val="Normal"/>
        <w:bidi w:val="0"/>
        <w:spacing w:before="0" w:after="120"/>
        <w:rPr>
          <w:sz w:val="20"/>
        </w:rPr>
      </w:pPr>
      <w:r>
        <w:rPr>
          <w:sz w:val="20"/>
        </w:rPr>
        <w:t> </w:t>
      </w:r>
    </w:p>
    <w:p>
      <w:pPr>
        <w:pStyle w:val="Normal"/>
        <w:bidi w:val="0"/>
        <w:spacing w:before="0" w:after="120"/>
        <w:jc w:val="center"/>
        <w:rPr>
          <w:b/>
          <w:bCs/>
          <w:sz w:val="20"/>
        </w:rPr>
      </w:pPr>
      <w:r>
        <w:rPr>
          <w:b/>
          <w:bCs/>
          <w:sz w:val="20"/>
        </w:rPr>
        <w:t>DANH SÁCH</w:t>
      </w:r>
    </w:p>
    <w:p>
      <w:pPr>
        <w:pStyle w:val="Normal"/>
        <w:bidi w:val="0"/>
        <w:spacing w:before="0" w:after="120"/>
        <w:jc w:val="center"/>
        <w:rPr>
          <w:b/>
          <w:bCs/>
          <w:sz w:val="20"/>
        </w:rPr>
      </w:pPr>
      <w:r>
        <w:rPr>
          <w:b/>
          <w:bCs/>
          <w:sz w:val="20"/>
        </w:rPr>
        <w:t>Các dự án trọng điểm ưu tiên cung ứng xăng dầu trong trường hợp xảy ra tình trạng gián đoạn, thiếu hụt nguồn cung xăng dầu</w:t>
      </w:r>
    </w:p>
    <w:p>
      <w:pPr>
        <w:pStyle w:val="Normal"/>
        <w:bidi w:val="0"/>
        <w:spacing w:before="0" w:after="120"/>
        <w:rPr>
          <w:b/>
          <w:bCs/>
          <w:sz w:val="20"/>
        </w:rPr>
      </w:pPr>
      <w:r>
        <w:rPr>
          <w:b/>
          <w:bCs/>
          <w:sz w:val="20"/>
        </w:rPr>
        <w:t>I. CÁC DỰ ÁN ĐẦU TƯ CÔNG TRỌNG ĐIỂM</w:t>
      </w:r>
    </w:p>
    <w:tbl>
      <w:tblPr>
        <w:tblW w:w="5000" w:type="pct"/>
        <w:jc w:val="start"/>
        <w:tblInd w:w="0" w:type="dxa"/>
        <w:tblLayout w:type="fixed"/>
        <w:tblCellMar>
          <w:top w:w="28" w:type="dxa"/>
          <w:start w:w="108" w:type="dxa"/>
          <w:bottom w:w="28" w:type="dxa"/>
          <w:end w:w="108" w:type="dxa"/>
        </w:tblCellMar>
      </w:tblPr>
      <w:tblGrid>
        <w:gridCol w:w="890"/>
        <w:gridCol w:w="9082"/>
      </w:tblGrid>
      <w:tr>
        <w:trPr/>
        <w:tc>
          <w:tcPr>
            <w:tcW w:w="89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b/>
                <w:bCs/>
                <w:sz w:val="20"/>
              </w:rPr>
            </w:pPr>
            <w:r>
              <w:rPr>
                <w:b/>
                <w:bCs/>
                <w:sz w:val="20"/>
              </w:rPr>
              <w:t>TT</w:t>
            </w:r>
          </w:p>
        </w:tc>
        <w:tc>
          <w:tcPr>
            <w:tcW w:w="9082" w:type="dxa"/>
            <w:tcBorders>
              <w:top w:val="single" w:sz="8" w:space="0" w:color="000000"/>
              <w:bottom w:val="single" w:sz="8" w:space="0" w:color="000000"/>
              <w:end w:val="single" w:sz="8" w:space="0" w:color="000000"/>
            </w:tcBorders>
          </w:tcPr>
          <w:p>
            <w:pPr>
              <w:pStyle w:val="Normal"/>
              <w:bidi w:val="0"/>
              <w:spacing w:before="0" w:after="0"/>
              <w:jc w:val="center"/>
              <w:rPr>
                <w:b/>
                <w:bCs/>
                <w:sz w:val="20"/>
              </w:rPr>
            </w:pPr>
            <w:r>
              <w:rPr>
                <w:b/>
                <w:bCs/>
                <w:sz w:val="20"/>
              </w:rPr>
              <w:t>TÊN DỰ ÁN</w:t>
            </w:r>
          </w:p>
        </w:tc>
      </w:tr>
      <w:tr>
        <w:trPr/>
        <w:tc>
          <w:tcPr>
            <w:tcW w:w="89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w:t>
            </w:r>
          </w:p>
        </w:tc>
        <w:tc>
          <w:tcPr>
            <w:tcW w:w="9082" w:type="dxa"/>
            <w:tcBorders>
              <w:bottom w:val="single" w:sz="8" w:space="0" w:color="000000"/>
              <w:end w:val="single" w:sz="8" w:space="0" w:color="000000"/>
            </w:tcBorders>
          </w:tcPr>
          <w:p>
            <w:pPr>
              <w:pStyle w:val="Normal"/>
              <w:bidi w:val="0"/>
              <w:spacing w:before="0" w:after="0"/>
              <w:rPr>
                <w:sz w:val="20"/>
              </w:rPr>
            </w:pPr>
            <w:r>
              <w:rPr>
                <w:sz w:val="20"/>
              </w:rPr>
              <w:t>Dự án đầu tư xây dựng tuyến đường bộ cao tốc Hòa Bình - Mộc Châu</w:t>
            </w:r>
          </w:p>
        </w:tc>
      </w:tr>
      <w:tr>
        <w:trPr/>
        <w:tc>
          <w:tcPr>
            <w:tcW w:w="89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2</w:t>
            </w:r>
          </w:p>
        </w:tc>
        <w:tc>
          <w:tcPr>
            <w:tcW w:w="9082" w:type="dxa"/>
            <w:tcBorders>
              <w:bottom w:val="single" w:sz="8" w:space="0" w:color="000000"/>
              <w:end w:val="single" w:sz="8" w:space="0" w:color="000000"/>
            </w:tcBorders>
          </w:tcPr>
          <w:p>
            <w:pPr>
              <w:pStyle w:val="Normal"/>
              <w:bidi w:val="0"/>
              <w:spacing w:before="0" w:after="0"/>
              <w:rPr>
                <w:sz w:val="20"/>
              </w:rPr>
            </w:pPr>
            <w:r>
              <w:rPr>
                <w:sz w:val="20"/>
              </w:rPr>
              <w:t>Trường Nội trú liên cấp Tiểu học-THCS Chiềng Sơn</w:t>
            </w:r>
          </w:p>
        </w:tc>
      </w:tr>
      <w:tr>
        <w:trPr/>
        <w:tc>
          <w:tcPr>
            <w:tcW w:w="89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3</w:t>
            </w:r>
          </w:p>
        </w:tc>
        <w:tc>
          <w:tcPr>
            <w:tcW w:w="9082" w:type="dxa"/>
            <w:tcBorders>
              <w:bottom w:val="single" w:sz="8" w:space="0" w:color="000000"/>
              <w:end w:val="single" w:sz="8" w:space="0" w:color="000000"/>
            </w:tcBorders>
          </w:tcPr>
          <w:p>
            <w:pPr>
              <w:pStyle w:val="Normal"/>
              <w:bidi w:val="0"/>
              <w:spacing w:before="0" w:after="0"/>
              <w:rPr>
                <w:sz w:val="20"/>
              </w:rPr>
            </w:pPr>
            <w:r>
              <w:rPr>
                <w:sz w:val="20"/>
              </w:rPr>
              <w:t>Trường Nội trú liên cấp Tiểu học-THCS Chiềng Khoong</w:t>
            </w:r>
          </w:p>
        </w:tc>
      </w:tr>
      <w:tr>
        <w:trPr/>
        <w:tc>
          <w:tcPr>
            <w:tcW w:w="89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4</w:t>
            </w:r>
          </w:p>
        </w:tc>
        <w:tc>
          <w:tcPr>
            <w:tcW w:w="9082" w:type="dxa"/>
            <w:tcBorders>
              <w:bottom w:val="single" w:sz="8" w:space="0" w:color="000000"/>
              <w:end w:val="single" w:sz="8" w:space="0" w:color="000000"/>
            </w:tcBorders>
          </w:tcPr>
          <w:p>
            <w:pPr>
              <w:pStyle w:val="Normal"/>
              <w:bidi w:val="0"/>
              <w:spacing w:before="0" w:after="0"/>
              <w:rPr>
                <w:sz w:val="20"/>
              </w:rPr>
            </w:pPr>
            <w:r>
              <w:rPr>
                <w:sz w:val="20"/>
              </w:rPr>
              <w:t>Trường Nội trú liên cấp Tiểu học-THCS Mường Hung</w:t>
            </w:r>
          </w:p>
        </w:tc>
      </w:tr>
      <w:tr>
        <w:trPr/>
        <w:tc>
          <w:tcPr>
            <w:tcW w:w="89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5</w:t>
            </w:r>
          </w:p>
        </w:tc>
        <w:tc>
          <w:tcPr>
            <w:tcW w:w="9082" w:type="dxa"/>
            <w:tcBorders>
              <w:bottom w:val="single" w:sz="8" w:space="0" w:color="000000"/>
              <w:end w:val="single" w:sz="8" w:space="0" w:color="000000"/>
            </w:tcBorders>
          </w:tcPr>
          <w:p>
            <w:pPr>
              <w:pStyle w:val="Normal"/>
              <w:bidi w:val="0"/>
              <w:spacing w:before="0" w:after="0"/>
              <w:rPr>
                <w:sz w:val="20"/>
              </w:rPr>
            </w:pPr>
            <w:r>
              <w:rPr>
                <w:sz w:val="20"/>
              </w:rPr>
              <w:t>Trường Nội trú liên cấp Tiểu học-THCS Yên Sơn</w:t>
            </w:r>
          </w:p>
        </w:tc>
      </w:tr>
      <w:tr>
        <w:trPr/>
        <w:tc>
          <w:tcPr>
            <w:tcW w:w="89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6</w:t>
            </w:r>
          </w:p>
        </w:tc>
        <w:tc>
          <w:tcPr>
            <w:tcW w:w="9082" w:type="dxa"/>
            <w:tcBorders>
              <w:bottom w:val="single" w:sz="8" w:space="0" w:color="000000"/>
              <w:end w:val="single" w:sz="8" w:space="0" w:color="000000"/>
            </w:tcBorders>
          </w:tcPr>
          <w:p>
            <w:pPr>
              <w:pStyle w:val="Normal"/>
              <w:bidi w:val="0"/>
              <w:spacing w:before="0" w:after="0"/>
              <w:rPr>
                <w:sz w:val="20"/>
              </w:rPr>
            </w:pPr>
            <w:r>
              <w:rPr>
                <w:sz w:val="20"/>
              </w:rPr>
              <w:t>Trường Nội trú liên cấp Tiểu học-THCS Lóng Phiêng</w:t>
            </w:r>
          </w:p>
        </w:tc>
      </w:tr>
      <w:tr>
        <w:trPr/>
        <w:tc>
          <w:tcPr>
            <w:tcW w:w="89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7</w:t>
            </w:r>
          </w:p>
        </w:tc>
        <w:tc>
          <w:tcPr>
            <w:tcW w:w="9082" w:type="dxa"/>
            <w:tcBorders>
              <w:bottom w:val="single" w:sz="8" w:space="0" w:color="000000"/>
              <w:end w:val="single" w:sz="8" w:space="0" w:color="000000"/>
            </w:tcBorders>
          </w:tcPr>
          <w:p>
            <w:pPr>
              <w:pStyle w:val="Normal"/>
              <w:bidi w:val="0"/>
              <w:spacing w:before="0" w:after="0"/>
              <w:rPr>
                <w:sz w:val="20"/>
              </w:rPr>
            </w:pPr>
            <w:r>
              <w:rPr>
                <w:sz w:val="20"/>
              </w:rPr>
              <w:t>Trường Nội trú liên cấp Tiểu học-THCS Phiêng Khoài</w:t>
            </w:r>
          </w:p>
        </w:tc>
      </w:tr>
      <w:tr>
        <w:trPr/>
        <w:tc>
          <w:tcPr>
            <w:tcW w:w="89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8</w:t>
            </w:r>
          </w:p>
        </w:tc>
        <w:tc>
          <w:tcPr>
            <w:tcW w:w="9082" w:type="dxa"/>
            <w:tcBorders>
              <w:bottom w:val="single" w:sz="8" w:space="0" w:color="000000"/>
              <w:end w:val="single" w:sz="8" w:space="0" w:color="000000"/>
            </w:tcBorders>
          </w:tcPr>
          <w:p>
            <w:pPr>
              <w:pStyle w:val="Normal"/>
              <w:bidi w:val="0"/>
              <w:spacing w:before="0" w:after="0"/>
              <w:rPr>
                <w:sz w:val="20"/>
              </w:rPr>
            </w:pPr>
            <w:r>
              <w:rPr>
                <w:sz w:val="20"/>
              </w:rPr>
              <w:t>Trường Nội trú liên cấp Tiểu học-THCS Xuân Nha</w:t>
            </w:r>
          </w:p>
        </w:tc>
      </w:tr>
      <w:tr>
        <w:trPr/>
        <w:tc>
          <w:tcPr>
            <w:tcW w:w="89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9</w:t>
            </w:r>
          </w:p>
        </w:tc>
        <w:tc>
          <w:tcPr>
            <w:tcW w:w="9082" w:type="dxa"/>
            <w:tcBorders>
              <w:bottom w:val="single" w:sz="8" w:space="0" w:color="000000"/>
              <w:end w:val="single" w:sz="8" w:space="0" w:color="000000"/>
            </w:tcBorders>
          </w:tcPr>
          <w:p>
            <w:pPr>
              <w:pStyle w:val="Normal"/>
              <w:bidi w:val="0"/>
              <w:spacing w:before="0" w:after="0"/>
              <w:rPr>
                <w:sz w:val="20"/>
              </w:rPr>
            </w:pPr>
            <w:r>
              <w:rPr>
                <w:sz w:val="20"/>
              </w:rPr>
              <w:t>Trường Nội trú liên cấp Tiểu học-THCS Lóng Sập</w:t>
            </w:r>
          </w:p>
        </w:tc>
      </w:tr>
      <w:tr>
        <w:trPr/>
        <w:tc>
          <w:tcPr>
            <w:tcW w:w="89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10</w:t>
            </w:r>
          </w:p>
        </w:tc>
        <w:tc>
          <w:tcPr>
            <w:tcW w:w="9082" w:type="dxa"/>
            <w:tcBorders>
              <w:bottom w:val="single" w:sz="8" w:space="0" w:color="000000"/>
              <w:end w:val="single" w:sz="8" w:space="0" w:color="000000"/>
            </w:tcBorders>
          </w:tcPr>
          <w:p>
            <w:pPr>
              <w:pStyle w:val="Normal"/>
              <w:bidi w:val="0"/>
              <w:spacing w:before="0" w:after="0"/>
              <w:rPr>
                <w:sz w:val="20"/>
              </w:rPr>
            </w:pPr>
            <w:r>
              <w:rPr>
                <w:sz w:val="20"/>
              </w:rPr>
              <w:t>Trường Nội trú liên cấp Tiểu học-THCS Mường Lạn</w:t>
            </w:r>
          </w:p>
        </w:tc>
      </w:tr>
      <w:tr>
        <w:trPr/>
        <w:tc>
          <w:tcPr>
            <w:tcW w:w="89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11</w:t>
            </w:r>
          </w:p>
        </w:tc>
        <w:tc>
          <w:tcPr>
            <w:tcW w:w="9082" w:type="dxa"/>
            <w:tcBorders>
              <w:bottom w:val="single" w:sz="8" w:space="0" w:color="000000"/>
              <w:end w:val="single" w:sz="8" w:space="0" w:color="000000"/>
            </w:tcBorders>
          </w:tcPr>
          <w:p>
            <w:pPr>
              <w:pStyle w:val="Normal"/>
              <w:bidi w:val="0"/>
              <w:spacing w:before="0" w:after="0"/>
              <w:rPr>
                <w:sz w:val="20"/>
              </w:rPr>
            </w:pPr>
            <w:r>
              <w:rPr>
                <w:sz w:val="20"/>
              </w:rPr>
              <w:t>Trường Nội trú liên cấp Tiểu học-THCS Sốp Cộp</w:t>
            </w:r>
          </w:p>
        </w:tc>
      </w:tr>
      <w:tr>
        <w:trPr/>
        <w:tc>
          <w:tcPr>
            <w:tcW w:w="89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12</w:t>
            </w:r>
          </w:p>
        </w:tc>
        <w:tc>
          <w:tcPr>
            <w:tcW w:w="9082" w:type="dxa"/>
            <w:tcBorders>
              <w:bottom w:val="single" w:sz="8" w:space="0" w:color="000000"/>
              <w:end w:val="single" w:sz="8" w:space="0" w:color="000000"/>
            </w:tcBorders>
          </w:tcPr>
          <w:p>
            <w:pPr>
              <w:pStyle w:val="Normal"/>
              <w:bidi w:val="0"/>
              <w:spacing w:before="0" w:after="0"/>
              <w:rPr>
                <w:sz w:val="20"/>
              </w:rPr>
            </w:pPr>
            <w:r>
              <w:rPr>
                <w:sz w:val="20"/>
              </w:rPr>
              <w:t>Trường Nội trú liên cấp Tiểu học-THCS Mường Lèo</w:t>
            </w:r>
          </w:p>
        </w:tc>
      </w:tr>
      <w:tr>
        <w:trPr/>
        <w:tc>
          <w:tcPr>
            <w:tcW w:w="89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13</w:t>
            </w:r>
          </w:p>
        </w:tc>
        <w:tc>
          <w:tcPr>
            <w:tcW w:w="9082" w:type="dxa"/>
            <w:tcBorders>
              <w:bottom w:val="single" w:sz="8" w:space="0" w:color="000000"/>
              <w:end w:val="single" w:sz="8" w:space="0" w:color="000000"/>
            </w:tcBorders>
          </w:tcPr>
          <w:p>
            <w:pPr>
              <w:pStyle w:val="Normal"/>
              <w:bidi w:val="0"/>
              <w:spacing w:before="0" w:after="0"/>
              <w:rPr>
                <w:sz w:val="20"/>
              </w:rPr>
            </w:pPr>
            <w:r>
              <w:rPr>
                <w:sz w:val="20"/>
              </w:rPr>
              <w:t>Trường Nội trú liên cấp Tiểu học-THCS Chiềng Khương</w:t>
            </w:r>
          </w:p>
        </w:tc>
      </w:tr>
      <w:tr>
        <w:trPr/>
        <w:tc>
          <w:tcPr>
            <w:tcW w:w="89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14</w:t>
            </w:r>
          </w:p>
        </w:tc>
        <w:tc>
          <w:tcPr>
            <w:tcW w:w="9082" w:type="dxa"/>
            <w:tcBorders>
              <w:bottom w:val="single" w:sz="8" w:space="0" w:color="000000"/>
              <w:end w:val="single" w:sz="8" w:space="0" w:color="000000"/>
            </w:tcBorders>
          </w:tcPr>
          <w:p>
            <w:pPr>
              <w:pStyle w:val="Normal"/>
              <w:bidi w:val="0"/>
              <w:spacing w:before="0" w:after="0"/>
              <w:rPr>
                <w:sz w:val="20"/>
              </w:rPr>
            </w:pPr>
            <w:r>
              <w:rPr>
                <w:sz w:val="20"/>
              </w:rPr>
              <w:t>Trường Nội trú liên cấp Tiểu học-THCS Phiêng Pằn</w:t>
            </w:r>
          </w:p>
        </w:tc>
      </w:tr>
      <w:tr>
        <w:trPr/>
        <w:tc>
          <w:tcPr>
            <w:tcW w:w="89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15</w:t>
            </w:r>
          </w:p>
        </w:tc>
        <w:tc>
          <w:tcPr>
            <w:tcW w:w="9082" w:type="dxa"/>
            <w:tcBorders>
              <w:bottom w:val="single" w:sz="8" w:space="0" w:color="000000"/>
              <w:end w:val="single" w:sz="8" w:space="0" w:color="000000"/>
            </w:tcBorders>
          </w:tcPr>
          <w:p>
            <w:pPr>
              <w:pStyle w:val="Normal"/>
              <w:bidi w:val="0"/>
              <w:spacing w:before="0" w:after="0"/>
              <w:rPr>
                <w:sz w:val="20"/>
              </w:rPr>
            </w:pPr>
            <w:r>
              <w:rPr>
                <w:sz w:val="20"/>
              </w:rPr>
              <w:t>Cải tạo, xây dựng mới các công trình trong khuôn viên Tỉnh ủy</w:t>
            </w:r>
          </w:p>
        </w:tc>
      </w:tr>
      <w:tr>
        <w:trPr/>
        <w:tc>
          <w:tcPr>
            <w:tcW w:w="89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16</w:t>
            </w:r>
          </w:p>
        </w:tc>
        <w:tc>
          <w:tcPr>
            <w:tcW w:w="9082" w:type="dxa"/>
            <w:tcBorders>
              <w:bottom w:val="single" w:sz="8" w:space="0" w:color="000000"/>
              <w:end w:val="single" w:sz="8" w:space="0" w:color="000000"/>
            </w:tcBorders>
          </w:tcPr>
          <w:p>
            <w:pPr>
              <w:pStyle w:val="Normal"/>
              <w:bidi w:val="0"/>
              <w:spacing w:before="0" w:after="0"/>
              <w:rPr>
                <w:sz w:val="20"/>
              </w:rPr>
            </w:pPr>
            <w:r>
              <w:rPr>
                <w:sz w:val="20"/>
              </w:rPr>
              <w:t>Trụ sở Viện kiểm sát nhân dân tỉnh Sơn La</w:t>
            </w:r>
          </w:p>
        </w:tc>
      </w:tr>
      <w:tr>
        <w:trPr/>
        <w:tc>
          <w:tcPr>
            <w:tcW w:w="89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17</w:t>
            </w:r>
          </w:p>
        </w:tc>
        <w:tc>
          <w:tcPr>
            <w:tcW w:w="9082" w:type="dxa"/>
            <w:tcBorders>
              <w:bottom w:val="single" w:sz="8" w:space="0" w:color="000000"/>
              <w:end w:val="single" w:sz="8" w:space="0" w:color="000000"/>
            </w:tcBorders>
          </w:tcPr>
          <w:p>
            <w:pPr>
              <w:pStyle w:val="Normal"/>
              <w:bidi w:val="0"/>
              <w:spacing w:before="0" w:after="0"/>
              <w:rPr>
                <w:sz w:val="20"/>
              </w:rPr>
            </w:pPr>
            <w:r>
              <w:rPr>
                <w:sz w:val="20"/>
              </w:rPr>
              <w:t>Trụ sở chính Trung tâm hoạt động thanh thiếu nhi tỉnh Sơn La</w:t>
            </w:r>
          </w:p>
        </w:tc>
      </w:tr>
      <w:tr>
        <w:trPr/>
        <w:tc>
          <w:tcPr>
            <w:tcW w:w="89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18</w:t>
            </w:r>
          </w:p>
        </w:tc>
        <w:tc>
          <w:tcPr>
            <w:tcW w:w="9082" w:type="dxa"/>
            <w:tcBorders>
              <w:bottom w:val="single" w:sz="8" w:space="0" w:color="000000"/>
              <w:end w:val="single" w:sz="8" w:space="0" w:color="000000"/>
            </w:tcBorders>
          </w:tcPr>
          <w:p>
            <w:pPr>
              <w:pStyle w:val="Normal"/>
              <w:bidi w:val="0"/>
              <w:spacing w:before="0" w:after="0"/>
              <w:rPr/>
            </w:pPr>
            <w:r>
              <w:rPr>
                <w:sz w:val="20"/>
              </w:rPr>
              <w:t xml:space="preserve">Đầu tư xây dựng Đường tỉnh 120C </w:t>
            </w:r>
            <w:r>
              <w:rPr>
                <w:i/>
                <w:iCs/>
                <w:sz w:val="20"/>
              </w:rPr>
              <w:t>(Yên Châu - Tạ Khoa)</w:t>
            </w:r>
          </w:p>
        </w:tc>
      </w:tr>
      <w:tr>
        <w:trPr/>
        <w:tc>
          <w:tcPr>
            <w:tcW w:w="89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19</w:t>
            </w:r>
          </w:p>
        </w:tc>
        <w:tc>
          <w:tcPr>
            <w:tcW w:w="9082" w:type="dxa"/>
            <w:tcBorders>
              <w:bottom w:val="single" w:sz="8" w:space="0" w:color="000000"/>
              <w:end w:val="single" w:sz="8" w:space="0" w:color="000000"/>
            </w:tcBorders>
          </w:tcPr>
          <w:p>
            <w:pPr>
              <w:pStyle w:val="Normal"/>
              <w:bidi w:val="0"/>
              <w:spacing w:before="0" w:after="0"/>
              <w:rPr/>
            </w:pPr>
            <w:r>
              <w:rPr>
                <w:sz w:val="20"/>
              </w:rPr>
              <w:t xml:space="preserve">Đường tỉnh 107C </w:t>
            </w:r>
            <w:r>
              <w:rPr>
                <w:i/>
                <w:iCs/>
                <w:sz w:val="20"/>
              </w:rPr>
              <w:t>(từ xã Chiềng Khay, huyện Quỳnh Nhai đến địa phận xã Nậm Sỏ, huyện Tân Uyên, tỉnh Lai Châu)</w:t>
            </w:r>
          </w:p>
        </w:tc>
      </w:tr>
      <w:tr>
        <w:trPr/>
        <w:tc>
          <w:tcPr>
            <w:tcW w:w="89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20</w:t>
            </w:r>
          </w:p>
        </w:tc>
        <w:tc>
          <w:tcPr>
            <w:tcW w:w="9082" w:type="dxa"/>
            <w:tcBorders>
              <w:bottom w:val="single" w:sz="8" w:space="0" w:color="000000"/>
              <w:end w:val="single" w:sz="8" w:space="0" w:color="000000"/>
            </w:tcBorders>
          </w:tcPr>
          <w:p>
            <w:pPr>
              <w:pStyle w:val="Normal"/>
              <w:bidi w:val="0"/>
              <w:spacing w:before="0" w:after="0"/>
              <w:rPr>
                <w:sz w:val="20"/>
              </w:rPr>
            </w:pPr>
            <w:r>
              <w:rPr>
                <w:sz w:val="20"/>
              </w:rPr>
              <w:t>Đầu tư xây dựng cửa khẩu chính Lóng Sập, tỉnh Sơn La thành cửa khẩu quốc tế</w:t>
            </w:r>
          </w:p>
        </w:tc>
      </w:tr>
      <w:tr>
        <w:trPr/>
        <w:tc>
          <w:tcPr>
            <w:tcW w:w="89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21</w:t>
            </w:r>
          </w:p>
        </w:tc>
        <w:tc>
          <w:tcPr>
            <w:tcW w:w="9082" w:type="dxa"/>
            <w:tcBorders>
              <w:bottom w:val="single" w:sz="8" w:space="0" w:color="000000"/>
              <w:end w:val="single" w:sz="8" w:space="0" w:color="000000"/>
            </w:tcBorders>
          </w:tcPr>
          <w:p>
            <w:pPr>
              <w:pStyle w:val="Normal"/>
              <w:bidi w:val="0"/>
              <w:spacing w:before="0" w:after="0"/>
              <w:rPr/>
            </w:pPr>
            <w:r>
              <w:rPr>
                <w:sz w:val="20"/>
              </w:rPr>
              <w:t xml:space="preserve">Xây dựng tuyến đường Chiềng Sinh - Chiềng Ngần </w:t>
            </w:r>
            <w:r>
              <w:rPr>
                <w:i/>
                <w:iCs/>
                <w:sz w:val="20"/>
              </w:rPr>
              <w:t>(đoạn Km2+327m ÷Km7+527m)</w:t>
            </w:r>
            <w:r>
              <w:rPr>
                <w:sz w:val="20"/>
              </w:rPr>
              <w:t>, thành phố Sơn La</w:t>
            </w:r>
          </w:p>
        </w:tc>
      </w:tr>
    </w:tbl>
    <w:p>
      <w:pPr>
        <w:pStyle w:val="Normal"/>
        <w:bidi w:val="0"/>
        <w:spacing w:before="0" w:after="120"/>
        <w:rPr>
          <w:b/>
          <w:bCs/>
          <w:sz w:val="20"/>
        </w:rPr>
      </w:pPr>
      <w:r>
        <w:rPr>
          <w:b/>
          <w:bCs/>
          <w:sz w:val="20"/>
        </w:rPr>
        <w:t>II. CÁC DỰ ÁN SẢN XUẤT, KHAI THÁC KHOÁNG SẢN LÀM VẬT LIỆU XÂY DỰNG THÔNG THƯỜNG</w:t>
      </w:r>
    </w:p>
    <w:tbl>
      <w:tblPr>
        <w:tblW w:w="5000" w:type="pct"/>
        <w:jc w:val="start"/>
        <w:tblInd w:w="0" w:type="dxa"/>
        <w:tblLayout w:type="fixed"/>
        <w:tblCellMar>
          <w:top w:w="28" w:type="dxa"/>
          <w:start w:w="108" w:type="dxa"/>
          <w:bottom w:w="28" w:type="dxa"/>
          <w:end w:w="108" w:type="dxa"/>
        </w:tblCellMar>
      </w:tblPr>
      <w:tblGrid>
        <w:gridCol w:w="1000"/>
        <w:gridCol w:w="5773"/>
        <w:gridCol w:w="3197"/>
        <w:gridCol w:w="2"/>
      </w:tblGrid>
      <w:tr>
        <w:trPr/>
        <w:tc>
          <w:tcPr>
            <w:tcW w:w="1000" w:type="dxa"/>
            <w:tcBorders>
              <w:top w:val="single" w:sz="8" w:space="0" w:color="000000"/>
              <w:start w:val="single" w:sz="8" w:space="0" w:color="000000"/>
              <w:bottom w:val="single" w:sz="8" w:space="0" w:color="000000"/>
              <w:end w:val="single" w:sz="8" w:space="0" w:color="000000"/>
            </w:tcBorders>
          </w:tcPr>
          <w:p>
            <w:pPr>
              <w:pStyle w:val="Normal"/>
              <w:bidi w:val="0"/>
              <w:spacing w:before="0" w:after="0"/>
              <w:jc w:val="center"/>
              <w:rPr>
                <w:b/>
                <w:bCs/>
                <w:sz w:val="20"/>
              </w:rPr>
            </w:pPr>
            <w:r>
              <w:rPr>
                <w:b/>
                <w:bCs/>
                <w:sz w:val="20"/>
              </w:rPr>
              <w:t>TT</w:t>
            </w:r>
          </w:p>
        </w:tc>
        <w:tc>
          <w:tcPr>
            <w:tcW w:w="5773" w:type="dxa"/>
            <w:tcBorders>
              <w:top w:val="single" w:sz="8" w:space="0" w:color="000000"/>
              <w:bottom w:val="single" w:sz="8" w:space="0" w:color="000000"/>
              <w:end w:val="single" w:sz="8" w:space="0" w:color="000000"/>
            </w:tcBorders>
          </w:tcPr>
          <w:p>
            <w:pPr>
              <w:pStyle w:val="Normal"/>
              <w:bidi w:val="0"/>
              <w:spacing w:before="0" w:after="0"/>
              <w:jc w:val="center"/>
              <w:rPr>
                <w:b/>
                <w:bCs/>
                <w:sz w:val="20"/>
              </w:rPr>
            </w:pPr>
            <w:r>
              <w:rPr>
                <w:b/>
                <w:bCs/>
                <w:sz w:val="20"/>
              </w:rPr>
              <w:t>TÊN DỰ ÁN</w:t>
            </w:r>
          </w:p>
        </w:tc>
        <w:tc>
          <w:tcPr>
            <w:tcW w:w="3199" w:type="dxa"/>
            <w:tcBorders>
              <w:top w:val="single" w:sz="8" w:space="0" w:color="000000"/>
              <w:bottom w:val="single" w:sz="8" w:space="0" w:color="000000"/>
              <w:end w:val="single" w:sz="8" w:space="0" w:color="000000"/>
            </w:tcBorders>
          </w:tcPr>
          <w:p>
            <w:pPr>
              <w:pStyle w:val="Normal"/>
              <w:bidi w:val="0"/>
              <w:spacing w:before="0" w:after="0"/>
              <w:jc w:val="center"/>
              <w:rPr>
                <w:b/>
                <w:bCs/>
                <w:sz w:val="20"/>
              </w:rPr>
            </w:pPr>
            <w:r>
              <w:rPr>
                <w:b/>
                <w:bCs/>
                <w:sz w:val="20"/>
              </w:rPr>
              <w:t>TỔ CHỨC, CÁ NHÂN KHAI THÁC</w:t>
            </w:r>
          </w:p>
        </w:tc>
      </w:tr>
      <w:tr>
        <w:trPr/>
        <w:tc>
          <w:tcPr>
            <w:tcW w:w="9970" w:type="dxa"/>
            <w:gridSpan w:val="3"/>
            <w:tcBorders>
              <w:start w:val="single" w:sz="8" w:space="0" w:color="000000"/>
              <w:bottom w:val="single" w:sz="8" w:space="0" w:color="000000"/>
              <w:end w:val="single" w:sz="8" w:space="0" w:color="000000"/>
            </w:tcBorders>
          </w:tcPr>
          <w:p>
            <w:pPr>
              <w:pStyle w:val="Normal"/>
              <w:bidi w:val="0"/>
              <w:snapToGrid w:val="false"/>
              <w:spacing w:before="0" w:after="0"/>
              <w:rPr/>
            </w:pPr>
            <w:r>
              <w:rPr>
                <w:b/>
                <w:bCs/>
                <w:sz w:val="20"/>
              </w:rPr>
              <w:t>A. Đá vôi làm vật liệu xây dựng thông thường, đá phiến sétA. Đá vôi làm vật liệu xây dựng thông thường, đá phiến sétA. Đá vôi làm vật liệu xây dựng thông thường, đá phiến sét</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khai thác đá vôi làm VLXD thông thường tại bản Mé Lếch, xã Cò Nòi, huyện Mai Sơn,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Hợp tác xã Tổ hợp sản xuất khai thác đá Đức Hiền</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2</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khai thác đá vôi làm VLXD thông thường tại bản Huổi Búng, xã Hát Lót, huyện Mai Sơn</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TNHH sản xuất vật liệu và xây dựng Hùng An Mai</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3</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khai thác và chế biến đá vôi bản Huổi Nhả- Noong Tàu Thái, xã Phiêng Cằm, huyện Mai Sơn,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cổ phần thương mại Hiền Luyến</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4</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đầu tư khai thác đá vôi làm VLXD thông thường tại mỏ đá bản Phiêng Hay, xã Chiềng Xôm, thành phố Sơn La,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TNHH một thành viên Hữu Hảo Tây Bắc</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5</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khai thác đá vôi làm vật liệu xây dựng thông thường tại khu vực bản Hồng Ngài, xã Hồng Ngài, huyện Bắc Yên,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cổ phần đầu tư Vạn An</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6</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khai thác mỏ đá vôi làm VLXDTT tại bản Cuông Mường, xã Tông Lạnh, huyện Thuận Châu,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TNHH Thảo Yến</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7</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khai thác và chế biến đá vôi làm vật liệu xây dựng thông thường tại bản Bỉa, xã Phổng Lăng, huyện Thuận Châu</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TNHH Thảo Yến</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8</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khai thác, sản xuất vật liệu xây dựng thông thường tại mỏ đá bản Nang Phai, xã Mường Bú, huyện Mường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cổ phần Đức Minh EDULIGHT</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9</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khai thác đá vôi làm vật liệu xây dựng thông thường tại mỏ đá bản Nà Lìu 2, xã Huy Hạ, huyện Phù Yên,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TNHH Hải Hùng</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10</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đầu tư xây dựng công trình khai thác và chế biến mỏ đá vôi làm vật liệu xây dựng thông thường tại bản Nà Lò 2, xã Phù Yên,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TNHH Hải Hùng</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11</w:t>
            </w:r>
          </w:p>
        </w:tc>
        <w:tc>
          <w:tcPr>
            <w:tcW w:w="5773" w:type="dxa"/>
            <w:tcBorders>
              <w:bottom w:val="single" w:sz="8" w:space="0" w:color="000000"/>
              <w:end w:val="single" w:sz="8" w:space="0" w:color="000000"/>
            </w:tcBorders>
          </w:tcPr>
          <w:p>
            <w:pPr>
              <w:pStyle w:val="Normal"/>
              <w:bidi w:val="0"/>
              <w:spacing w:before="0" w:after="0"/>
              <w:rPr>
                <w:sz w:val="20"/>
              </w:rPr>
            </w:pPr>
            <w:r>
              <w:rPr>
                <w:sz w:val="20"/>
              </w:rPr>
              <w:t>Đầu tư khai thác mỏ đá vôi làm vật liệu xây dựng thông thường tại khu vực bản Na Đông, xã Chiềng Khoi, huyện Yên Châu,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cổ phần đầu tư xây dựng thương mại Xuân Hùng tại Sơn La</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12</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khai thác mỏ đá vôi bản Ca Láp xã Chiềng Ngần, thành phố Sơn La,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TNHH Chung Đức Sơn La</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13</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khai thác và chế biến đá vôi làm VLXDTT tại bản Mòn, thị trấn Mộc Châu,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TNHH xây dựng và thương mại Thế Kỷ</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14</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khai thác và chế biến đá vôi làm vật liệu xây dựng thông thường tại bản Huổi Lầu, xã Sốp Cộp,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cổ phần xây dựng Trường Giang</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15</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khai thác đá vôi làm VLXD thông thường tại mỏ đá bản Mạt, xã Chiềng Mung,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cổ phần xây dựng Trường Giang</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16</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đầu tư khai thác và chế biến đá vôi làm vật liệu xây dựng thông thường tại khu 2 bản Sen To, xã Tông Cọ, huyện Thuận Châu,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TNHH sản xuất kinh doanh thương mại Hòa Bình</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17</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khai thác đá vôi làm vật liệu xây dựng thông thường tại bản Hua Tạt, xã Vân Hồ,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TNHH Minh Tâm Tây Bắc</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18</w:t>
            </w:r>
          </w:p>
        </w:tc>
        <w:tc>
          <w:tcPr>
            <w:tcW w:w="5773" w:type="dxa"/>
            <w:tcBorders>
              <w:bottom w:val="single" w:sz="8" w:space="0" w:color="000000"/>
              <w:end w:val="single" w:sz="8" w:space="0" w:color="000000"/>
            </w:tcBorders>
          </w:tcPr>
          <w:p>
            <w:pPr>
              <w:pStyle w:val="Normal"/>
              <w:bidi w:val="0"/>
              <w:spacing w:before="0" w:after="0"/>
              <w:rPr>
                <w:sz w:val="20"/>
              </w:rPr>
            </w:pPr>
            <w:r>
              <w:rPr>
                <w:sz w:val="20"/>
              </w:rPr>
              <w:t>Khai thác đá vôi làm vật liệu xây dựng thông thường, bê tông tươi, bê tông nhựa nóng tại bản Tây Hưng và bản Pá Phang 1, bản Pá Phang 2, xã Chiềng Hắc, phường Mộc Châu,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cổ phần đầu tư sản xuất vật liệu xây dựng Tây Bắc</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19</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khai thác và chế biến đá phiến sét làm VLXD thông thường tại khu vực Thác Vai, bản Mòn, xã Tạ Bú, huyện Mường La,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TNHH một thành viên Hữu Hảo Tây Bắc</w:t>
            </w:r>
          </w:p>
        </w:tc>
      </w:tr>
      <w:tr>
        <w:trPr/>
        <w:tc>
          <w:tcPr>
            <w:tcW w:w="9970" w:type="dxa"/>
            <w:gridSpan w:val="3"/>
            <w:tcBorders>
              <w:start w:val="single" w:sz="8" w:space="0" w:color="000000"/>
              <w:bottom w:val="single" w:sz="8" w:space="0" w:color="000000"/>
              <w:end w:val="single" w:sz="8" w:space="0" w:color="000000"/>
            </w:tcBorders>
          </w:tcPr>
          <w:p>
            <w:pPr>
              <w:pStyle w:val="Normal"/>
              <w:bidi w:val="0"/>
              <w:snapToGrid w:val="false"/>
              <w:spacing w:before="0" w:after="0"/>
              <w:rPr/>
            </w:pPr>
            <w:r>
              <w:rPr>
                <w:b/>
                <w:bCs/>
                <w:sz w:val="20"/>
              </w:rPr>
              <w:t>B. CÁT, SỎI LÀM VẬT LIỆU XÂY DỰNG THÔNG THƯỜNGB. CÁT, SỎI LÀM VẬT LIỆU XÂY DỰNG THÔNG THƯỜNGB. CÁT, SỎI LÀM VẬT LIỆU XÂY DỰNG THÔNG THƯỜNG</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khai thác mỏ cát, sỏi lòng sông Đà tại thị trấn Ít Ong và xã Chiềng San, huyện Mường La,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TNHH Tài nguyên và khoáng sản Thăng Long, Hà Nội</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2</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khai thác mỏ cát làm VLXD thông thường trên sông Mã tại xã Mường Lầm, xã Chiềng Sơ, xã Nà Nghịu, xã Chiềng Cang, xã Chiềng Khương, huyện Sông Mã,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cổ phần Quỳnh Ngọc</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3</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khai thác 05 điểm mỏ cát trên sông Mã tại các xã Mường Lầm, Chiềng Sơ, Nà Nghịu, huyện Sông Mã,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cổ phần xúc tiến đầu tư Thành Nam</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4</w:t>
            </w:r>
          </w:p>
        </w:tc>
        <w:tc>
          <w:tcPr>
            <w:tcW w:w="5773" w:type="dxa"/>
            <w:tcBorders>
              <w:bottom w:val="single" w:sz="8" w:space="0" w:color="000000"/>
              <w:end w:val="single" w:sz="8" w:space="0" w:color="000000"/>
            </w:tcBorders>
          </w:tcPr>
          <w:p>
            <w:pPr>
              <w:pStyle w:val="Normal"/>
              <w:bidi w:val="0"/>
              <w:spacing w:before="0" w:after="0"/>
              <w:rPr>
                <w:sz w:val="20"/>
              </w:rPr>
            </w:pPr>
            <w:r>
              <w:rPr>
                <w:sz w:val="20"/>
              </w:rPr>
              <w:t>Đầu tư khai thác mỏ cát bản Pắc Ngà, xã Pắc Ngà, huyện Bắc Yên và xã Tà Hộc, huyện Mai Sơn, tỉnh Sơn La (nay là bản Pắc Ngà, xã Pắc Ngà và xã Tà Hộc,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cổ phần Phú Lâm Phù Yên</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5</w:t>
            </w:r>
          </w:p>
        </w:tc>
        <w:tc>
          <w:tcPr>
            <w:tcW w:w="5773" w:type="dxa"/>
            <w:tcBorders>
              <w:bottom w:val="single" w:sz="8" w:space="0" w:color="000000"/>
              <w:end w:val="single" w:sz="8" w:space="0" w:color="000000"/>
            </w:tcBorders>
          </w:tcPr>
          <w:p>
            <w:pPr>
              <w:pStyle w:val="Normal"/>
              <w:bidi w:val="0"/>
              <w:spacing w:before="0" w:after="0"/>
              <w:rPr>
                <w:sz w:val="20"/>
              </w:rPr>
            </w:pPr>
            <w:r>
              <w:rPr>
                <w:sz w:val="20"/>
              </w:rPr>
              <w:t>Đầu tư khai thác mỏ cát bản Pơn, xã Tà Hộc, huyện Mai Sơn và xã Pắc Ngà, huyện Bắc Yên, tỉnh Sơn La (nay là bản Pơn, xã Tà Hộc và xã Pắc Ngà,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cổ phần Phú Lâm Phù Yên</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6</w:t>
            </w:r>
          </w:p>
        </w:tc>
        <w:tc>
          <w:tcPr>
            <w:tcW w:w="5773" w:type="dxa"/>
            <w:tcBorders>
              <w:bottom w:val="single" w:sz="8" w:space="0" w:color="000000"/>
              <w:end w:val="single" w:sz="8" w:space="0" w:color="000000"/>
            </w:tcBorders>
          </w:tcPr>
          <w:p>
            <w:pPr>
              <w:pStyle w:val="Normal"/>
              <w:bidi w:val="0"/>
              <w:spacing w:before="0" w:after="0"/>
              <w:rPr>
                <w:sz w:val="20"/>
              </w:rPr>
            </w:pPr>
            <w:r>
              <w:rPr>
                <w:sz w:val="20"/>
              </w:rPr>
              <w:t>Đầu tư khai thác mỏ cát bản Tà Đò, xã Bắc Yên, xã Tạ Khoa, tỉnh Sơn La (trước khi sắp xếp là bản Tà Đò, xã Song Pe, xã Tạ Khoa, huyện Bắc Yên,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cổ phần Phú Lâm Phù Yên</w:t>
            </w:r>
          </w:p>
        </w:tc>
      </w:tr>
      <w:tr>
        <w:trPr/>
        <w:tc>
          <w:tcPr>
            <w:tcW w:w="9970" w:type="dxa"/>
            <w:gridSpan w:val="3"/>
            <w:tcBorders>
              <w:start w:val="single" w:sz="8" w:space="0" w:color="000000"/>
              <w:bottom w:val="single" w:sz="8" w:space="0" w:color="000000"/>
              <w:end w:val="single" w:sz="8" w:space="0" w:color="000000"/>
            </w:tcBorders>
          </w:tcPr>
          <w:p>
            <w:pPr>
              <w:pStyle w:val="Normal"/>
              <w:bidi w:val="0"/>
              <w:snapToGrid w:val="false"/>
              <w:spacing w:before="0" w:after="0"/>
              <w:rPr/>
            </w:pPr>
            <w:r>
              <w:rPr>
                <w:b/>
                <w:bCs/>
                <w:sz w:val="20"/>
              </w:rPr>
              <w:t>C. ĐÁ LÀM NGUYÊN LIỆU SẢN XUẤT CÁTC. ĐÁ LÀM NGUYÊN LIỆU SẢN XUẤT CÁTC. ĐÁ LÀM NGUYÊN LIỆU SẢN XUẤT CÁT</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Đầu tư khai thác đá vôi làm nguyên liệu sản xuất cát tại tiểu khu Bó Bun, thị trấn Nông trường Mộc Châu, huyện Mộc Châu</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TNHH xây dựng và thương mại Thanh Thi</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2</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đầu tư khai thác đá vôi làm nguyên liệu sản xuất cát nghiền tại Là Ngà 2, xã Mường Sang, huyện Mộc Châu,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cổ phần đầu tư xây dựng thương mại Đức Lộc</w:t>
            </w:r>
          </w:p>
        </w:tc>
      </w:tr>
      <w:tr>
        <w:trPr/>
        <w:tc>
          <w:tcPr>
            <w:tcW w:w="9970" w:type="dxa"/>
            <w:gridSpan w:val="3"/>
            <w:tcBorders>
              <w:start w:val="single" w:sz="8" w:space="0" w:color="000000"/>
              <w:bottom w:val="single" w:sz="8" w:space="0" w:color="000000"/>
              <w:end w:val="single" w:sz="8" w:space="0" w:color="000000"/>
            </w:tcBorders>
          </w:tcPr>
          <w:p>
            <w:pPr>
              <w:pStyle w:val="Normal"/>
              <w:bidi w:val="0"/>
              <w:snapToGrid w:val="false"/>
              <w:spacing w:before="0" w:after="0"/>
              <w:rPr/>
            </w:pPr>
            <w:r>
              <w:rPr>
                <w:b/>
                <w:bCs/>
                <w:sz w:val="20"/>
              </w:rPr>
              <w:t>D. ĐẤT SÉT LÀM GẠCH, NGÓID. ĐẤT SÉT LÀM GẠCH, NGÓID. ĐẤT SÉT LÀM GẠCH, NGÓI</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khai thác sét làm nguyên liệu sản xuất gạch nung tại bản Hẹo, phường Chiềng Sinh, thành phố Sơn La,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TNHH một thành viên Sơn Hưng Trung</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2</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khai thác đất sét làm nguyên liệu sản xuất gạch nung tại bản Nà Lùn, xã Mường Sang, huyện Mộc Châu,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cổ phần vật liệu xây dựng I Sơn La</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3</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khai thác mỏ đất sét làm gạch, ngói tại bản Bon, xã Mường Bon, huyện Mai Sơn</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cổ phần gạch Mai Sơn</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4</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đầu tư khai thác đất sét làm gạch, ngói tại bản Bắt, xã Sặp Vạt và thị trấn Yên Châu, huyện Yên Châu, tỉnh Sơn La</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cổ phần Hưng Thịnh Yên Châu</w:t>
            </w:r>
          </w:p>
        </w:tc>
      </w:tr>
      <w:tr>
        <w:trPr/>
        <w:tc>
          <w:tcPr>
            <w:tcW w:w="1000"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5</w:t>
            </w:r>
          </w:p>
        </w:tc>
        <w:tc>
          <w:tcPr>
            <w:tcW w:w="5773" w:type="dxa"/>
            <w:tcBorders>
              <w:bottom w:val="single" w:sz="8" w:space="0" w:color="000000"/>
              <w:end w:val="single" w:sz="8" w:space="0" w:color="000000"/>
            </w:tcBorders>
          </w:tcPr>
          <w:p>
            <w:pPr>
              <w:pStyle w:val="Normal"/>
              <w:bidi w:val="0"/>
              <w:spacing w:before="0" w:after="0"/>
              <w:rPr>
                <w:sz w:val="20"/>
              </w:rPr>
            </w:pPr>
            <w:r>
              <w:rPr>
                <w:sz w:val="20"/>
              </w:rPr>
              <w:t>Dự án khai thác mỏ sét làm nguyên liệu sản xuất gạch nung tại bản Quyết Tiến, xã Nà Nghịu, huyện Sông Mã.</w:t>
            </w:r>
          </w:p>
        </w:tc>
        <w:tc>
          <w:tcPr>
            <w:tcW w:w="3199" w:type="dxa"/>
            <w:tcBorders>
              <w:bottom w:val="single" w:sz="8" w:space="0" w:color="000000"/>
              <w:end w:val="single" w:sz="8" w:space="0" w:color="000000"/>
            </w:tcBorders>
          </w:tcPr>
          <w:p>
            <w:pPr>
              <w:pStyle w:val="Normal"/>
              <w:bidi w:val="0"/>
              <w:spacing w:before="0" w:after="0"/>
              <w:rPr>
                <w:sz w:val="20"/>
              </w:rPr>
            </w:pPr>
            <w:r>
              <w:rPr>
                <w:sz w:val="20"/>
              </w:rPr>
              <w:t>Công ty cổ phần Quyết Tiến Sông Mã</w:t>
            </w:r>
          </w:p>
        </w:tc>
      </w:tr>
    </w:tbl>
    <w:p>
      <w:pPr>
        <w:pStyle w:val="Normal"/>
        <w:bidi w:val="0"/>
        <w:spacing w:before="0" w:after="120"/>
        <w:rPr>
          <w:b/>
          <w:bCs/>
          <w:sz w:val="20"/>
        </w:rPr>
      </w:pPr>
      <w:r>
        <w:rPr>
          <w:b/>
          <w:bCs/>
          <w:sz w:val="20"/>
        </w:rPr>
        <w:t>III. CÁC DỰ ÁN THUỘC LĨNH VỰC NĂNG LƯỢNG</w:t>
      </w:r>
    </w:p>
    <w:tbl>
      <w:tblPr>
        <w:tblW w:w="5000" w:type="pct"/>
        <w:jc w:val="start"/>
        <w:tblInd w:w="0" w:type="dxa"/>
        <w:tblLayout w:type="fixed"/>
        <w:tblCellMar>
          <w:top w:w="28" w:type="dxa"/>
          <w:start w:w="108" w:type="dxa"/>
          <w:bottom w:w="28" w:type="dxa"/>
          <w:end w:w="108" w:type="dxa"/>
        </w:tblCellMar>
      </w:tblPr>
      <w:tblGrid>
        <w:gridCol w:w="1002"/>
        <w:gridCol w:w="5813"/>
        <w:gridCol w:w="3157"/>
      </w:tblGrid>
      <w:tr>
        <w:trPr/>
        <w:tc>
          <w:tcPr>
            <w:tcW w:w="1002" w:type="dxa"/>
            <w:tcBorders>
              <w:top w:val="single" w:sz="8" w:space="0" w:color="000000"/>
              <w:start w:val="single" w:sz="8" w:space="0" w:color="000000"/>
              <w:bottom w:val="single" w:sz="8" w:space="0" w:color="000000"/>
              <w:end w:val="single" w:sz="8" w:space="0" w:color="000000"/>
            </w:tcBorders>
          </w:tcPr>
          <w:p>
            <w:pPr>
              <w:pStyle w:val="Normal"/>
              <w:bidi w:val="0"/>
              <w:spacing w:before="0" w:after="0"/>
              <w:rPr>
                <w:b/>
                <w:bCs/>
                <w:sz w:val="20"/>
              </w:rPr>
            </w:pPr>
            <w:r>
              <w:rPr>
                <w:b/>
                <w:bCs/>
                <w:sz w:val="20"/>
              </w:rPr>
              <w:t>TT</w:t>
            </w:r>
          </w:p>
        </w:tc>
        <w:tc>
          <w:tcPr>
            <w:tcW w:w="5813" w:type="dxa"/>
            <w:tcBorders>
              <w:top w:val="single" w:sz="8" w:space="0" w:color="000000"/>
              <w:bottom w:val="single" w:sz="8" w:space="0" w:color="000000"/>
              <w:end w:val="single" w:sz="8" w:space="0" w:color="000000"/>
            </w:tcBorders>
          </w:tcPr>
          <w:p>
            <w:pPr>
              <w:pStyle w:val="Normal"/>
              <w:bidi w:val="0"/>
              <w:spacing w:before="0" w:after="0"/>
              <w:jc w:val="center"/>
              <w:rPr>
                <w:b/>
                <w:bCs/>
                <w:sz w:val="20"/>
              </w:rPr>
            </w:pPr>
            <w:r>
              <w:rPr>
                <w:b/>
                <w:bCs/>
                <w:sz w:val="20"/>
              </w:rPr>
              <w:t>TÊN DỰ ÁN</w:t>
            </w:r>
          </w:p>
        </w:tc>
        <w:tc>
          <w:tcPr>
            <w:tcW w:w="3157" w:type="dxa"/>
            <w:tcBorders>
              <w:top w:val="single" w:sz="8" w:space="0" w:color="000000"/>
              <w:bottom w:val="single" w:sz="8" w:space="0" w:color="000000"/>
              <w:end w:val="single" w:sz="8" w:space="0" w:color="000000"/>
            </w:tcBorders>
          </w:tcPr>
          <w:p>
            <w:pPr>
              <w:pStyle w:val="Normal"/>
              <w:bidi w:val="0"/>
              <w:spacing w:before="0" w:after="0"/>
              <w:jc w:val="center"/>
              <w:rPr>
                <w:b/>
                <w:bCs/>
                <w:sz w:val="20"/>
              </w:rPr>
            </w:pPr>
            <w:r>
              <w:rPr>
                <w:b/>
                <w:bCs/>
                <w:sz w:val="20"/>
              </w:rPr>
              <w:t>CHỦ ĐẦU TƯ</w:t>
            </w:r>
          </w:p>
        </w:tc>
      </w:tr>
      <w:tr>
        <w:trPr/>
        <w:tc>
          <w:tcPr>
            <w:tcW w:w="1002" w:type="dxa"/>
            <w:tcBorders>
              <w:start w:val="single" w:sz="8" w:space="0" w:color="000000"/>
              <w:bottom w:val="single" w:sz="8" w:space="0" w:color="000000"/>
              <w:end w:val="single" w:sz="8" w:space="0" w:color="000000"/>
            </w:tcBorders>
          </w:tcPr>
          <w:p>
            <w:pPr>
              <w:pStyle w:val="Normal"/>
              <w:bidi w:val="0"/>
              <w:spacing w:before="0" w:after="0"/>
              <w:jc w:val="center"/>
              <w:rPr>
                <w:sz w:val="20"/>
              </w:rPr>
            </w:pPr>
            <w:r>
              <w:rPr>
                <w:sz w:val="20"/>
              </w:rPr>
              <w:t>1</w:t>
            </w:r>
          </w:p>
        </w:tc>
        <w:tc>
          <w:tcPr>
            <w:tcW w:w="5813" w:type="dxa"/>
            <w:tcBorders>
              <w:bottom w:val="single" w:sz="8" w:space="0" w:color="000000"/>
              <w:end w:val="single" w:sz="8" w:space="0" w:color="000000"/>
            </w:tcBorders>
          </w:tcPr>
          <w:p>
            <w:pPr>
              <w:pStyle w:val="Normal"/>
              <w:bidi w:val="0"/>
              <w:spacing w:before="0" w:after="0"/>
              <w:rPr>
                <w:sz w:val="20"/>
              </w:rPr>
            </w:pPr>
            <w:r>
              <w:rPr>
                <w:sz w:val="20"/>
              </w:rPr>
              <w:t>Trạm biến áp 500 kV Sơn La 1 và đường dây 500 kV đấu nối</w:t>
            </w:r>
          </w:p>
        </w:tc>
        <w:tc>
          <w:tcPr>
            <w:tcW w:w="3157" w:type="dxa"/>
            <w:tcBorders>
              <w:bottom w:val="single" w:sz="8" w:space="0" w:color="000000"/>
              <w:end w:val="single" w:sz="8" w:space="0" w:color="000000"/>
            </w:tcBorders>
          </w:tcPr>
          <w:p>
            <w:pPr>
              <w:pStyle w:val="Normal"/>
              <w:bidi w:val="0"/>
              <w:spacing w:before="0" w:after="0"/>
              <w:rPr>
                <w:sz w:val="20"/>
              </w:rPr>
            </w:pPr>
            <w:r>
              <w:rPr>
                <w:sz w:val="20"/>
              </w:rPr>
              <w:t>Tổng Công ty Truyền tải điện Quốc gia</w:t>
            </w:r>
          </w:p>
        </w:tc>
      </w:tr>
    </w:tbl>
    <w:p>
      <w:pPr>
        <w:pStyle w:val="Normal"/>
        <w:bidi w:val="0"/>
        <w:spacing w:before="0" w:after="120"/>
        <w:rPr/>
      </w:pPr>
      <w:r>
        <w:rPr/>
        <w:t> </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0" w:characterSet="windows-1252"/>
    <w:family w:val="roman"/>
    <w:pitch w:val="default"/>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