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sz w:val="20"/>
              </w:rPr>
              <w:t xml:space="preserve">ỦY BAN NHÂN DÂN </w:t>
              <w:br/>
              <w:t>TỈNH VĨNH LONG</w:t>
            </w:r>
            <w:r>
              <w:rPr>
                <w:sz w:val="20"/>
              </w:rPr>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sz w:val="20"/>
              </w:rPr>
              <w:t>Số: 1552/QĐ-UBND</w:t>
            </w:r>
          </w:p>
        </w:tc>
        <w:tc>
          <w:tcPr>
            <w:tcW w:w="6607" w:type="dxa"/>
            <w:tcBorders/>
          </w:tcPr>
          <w:p>
            <w:pPr>
              <w:pStyle w:val="Normal"/>
              <w:bidi w:val="0"/>
              <w:spacing w:before="0" w:after="0"/>
              <w:jc w:val="end"/>
              <w:rPr/>
            </w:pPr>
            <w:r>
              <w:rPr>
                <w:i/>
                <w:iCs/>
                <w:sz w:val="20"/>
              </w:rPr>
              <w:t>Vĩnh Long, ngày 13 tháng 3 năm 2026</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pPr>
      <w:r>
        <w:rPr>
          <w:sz w:val="20"/>
        </w:rPr>
        <w:t>CÔNG BỐ DANH MỤC 04 THỦ TỤC HÀNH CHÍNH CẤP TỈNH BỊ BÃI BỎ TRONG LĨNH VỰC MỸ PHẨM THUỘC PHẠM VI CHỨC NĂNG QUẢN LÝ CỦA SỞ Y TẾ TỈNH VĨNH LONG</w:t>
        <w:br/>
      </w:r>
      <w:r>
        <w:rPr>
          <w:i/>
          <w:iCs/>
          <w:sz w:val="20"/>
        </w:rPr>
        <w:t>(THỦ TỤC HÀNH CHÍNH THỰC HIỆN KHÔNG PHỤ THUỘC VÀO ĐỊA GIỚI HÀNH CHÍNH)</w:t>
      </w:r>
    </w:p>
    <w:p>
      <w:pPr>
        <w:pStyle w:val="Normal"/>
        <w:bidi w:val="0"/>
        <w:spacing w:before="0" w:after="120"/>
        <w:jc w:val="center"/>
        <w:rPr>
          <w:b/>
          <w:bCs/>
          <w:sz w:val="24"/>
        </w:rPr>
      </w:pPr>
      <w:r>
        <w:rPr>
          <w:b/>
          <w:bCs/>
          <w:sz w:val="24"/>
        </w:rPr>
        <w:t>CHỦ TỊCH ỦY BAN NHÂN DÂN TỈNH VĨNH LONG</w:t>
      </w:r>
    </w:p>
    <w:p>
      <w:pPr>
        <w:pStyle w:val="Normal"/>
        <w:bidi w:val="0"/>
        <w:spacing w:before="0" w:after="120"/>
        <w:rPr>
          <w:i/>
          <w:iCs/>
          <w:sz w:val="20"/>
        </w:rPr>
      </w:pPr>
      <w:r>
        <w:rPr>
          <w:i/>
          <w:iCs/>
          <w:sz w:val="20"/>
        </w:rPr>
        <w:t>Căn cứ Luật Tổ chức chính quyền địa phương ngày 16 tháng 6 năm 2025;</w:t>
      </w:r>
    </w:p>
    <w:p>
      <w:pPr>
        <w:pStyle w:val="Normal"/>
        <w:bidi w:val="0"/>
        <w:spacing w:before="0" w:after="120"/>
        <w:rPr>
          <w:i/>
          <w:iCs/>
          <w:sz w:val="20"/>
        </w:rPr>
      </w:pPr>
      <w:r>
        <w:rPr>
          <w:i/>
          <w:iCs/>
          <w:sz w:val="20"/>
        </w:rPr>
        <w:t>Căn cứ Nghị định số 63/2010/NĐ-CP ngày 08 tháng 6 năm 2010 của Chính phủ về kiểm soát thủ tục hành chính; Nghị định số 48/2013/NĐ-CP ngày 14 tháng 5 năm 2013 của Chính phủ về việc sửa đổi, bổ sung một số điều của các nghị định liên quan đến kiểm soát thủ tục hành chính; Nghị định số 92/2017/NĐ-CP ngày 07 tháng 8 năm 2017 của Chính phủ về sửa đổi, bổ sung một số điều của các Nghị định liên quan đến kiểm soát thủ tục hành chính;</w:t>
      </w:r>
    </w:p>
    <w:p>
      <w:pPr>
        <w:pStyle w:val="Normal"/>
        <w:bidi w:val="0"/>
        <w:spacing w:before="0" w:after="120"/>
        <w:rPr>
          <w:i/>
          <w:iCs/>
          <w:sz w:val="20"/>
        </w:rPr>
      </w:pPr>
      <w:r>
        <w:rPr>
          <w:i/>
          <w:iCs/>
          <w:sz w:val="20"/>
        </w:rPr>
        <w:t>Căn cứ Thông tư số 02/2017/TT-VPCP ngày 31 tháng 10 năm 2017 của Bộ trưởng, Chủ nhiệm Văn phòng Chính phủ hướng dẫn về nghiệp vụ kiểm soát thủ tục hành chính;</w:t>
      </w:r>
    </w:p>
    <w:p>
      <w:pPr>
        <w:pStyle w:val="Normal"/>
        <w:bidi w:val="0"/>
        <w:spacing w:before="0" w:after="120"/>
        <w:rPr>
          <w:i/>
          <w:iCs/>
          <w:sz w:val="20"/>
        </w:rPr>
      </w:pPr>
      <w:r>
        <w:rPr>
          <w:i/>
          <w:iCs/>
          <w:sz w:val="20"/>
        </w:rPr>
        <w:t>Căn cứ Quyết định số 590/QĐ-BYT ngày 10 tháng 3 năm 2026 của Bộ trưởng Bộ Y tế về việc công bố thủ tục hành chính bị bãi bỏ lĩnh vực Mỹ phẩm quy định tại Thông tư số 03/2026/TT-BYT ngày 12 tháng 02 năm 2026 của Bộ trưởng Bộ Y tế bãi bỏ một số văn bản quy phạm pháp luật do Bộ trưởng Bộ Y tế ban hành;</w:t>
      </w:r>
    </w:p>
    <w:p>
      <w:pPr>
        <w:pStyle w:val="Normal"/>
        <w:bidi w:val="0"/>
        <w:spacing w:before="0" w:after="120"/>
        <w:rPr>
          <w:i/>
          <w:iCs/>
          <w:sz w:val="20"/>
        </w:rPr>
      </w:pPr>
      <w:r>
        <w:rPr>
          <w:i/>
          <w:iCs/>
          <w:sz w:val="20"/>
        </w:rPr>
        <w:t>Theo đề nghị của Giám đốc Sở Y tế tại Tờ trình số 2042/TTr-SYT ngày 12 tháng 3 năm 2026.</w:t>
      </w:r>
    </w:p>
    <w:p>
      <w:pPr>
        <w:pStyle w:val="Normal"/>
        <w:bidi w:val="0"/>
        <w:spacing w:before="0" w:after="120"/>
        <w:jc w:val="center"/>
        <w:rPr>
          <w:b/>
          <w:bCs/>
          <w:sz w:val="24"/>
        </w:rPr>
      </w:pPr>
      <w:r>
        <w:rPr>
          <w:b/>
          <w:bCs/>
          <w:sz w:val="24"/>
        </w:rPr>
        <w:t>QUYẾT ĐỊNH:</w:t>
      </w:r>
    </w:p>
    <w:p>
      <w:pPr>
        <w:pStyle w:val="Normal"/>
        <w:bidi w:val="0"/>
        <w:spacing w:before="0" w:after="120"/>
        <w:rPr/>
      </w:pPr>
      <w:r>
        <w:rPr>
          <w:b/>
          <w:bCs/>
          <w:sz w:val="20"/>
        </w:rPr>
        <w:t xml:space="preserve">Điều 1. </w:t>
      </w:r>
      <w:r>
        <w:rPr>
          <w:sz w:val="20"/>
        </w:rPr>
        <w:t xml:space="preserve">Công bố kèm theo Quyết định này 04 (bốn) thủ tục hành chính cấp tỉnh bị bãi bỏ trong lĩnh vực Mỹ phẩm thuộc phạm vi chức năng quản lý của Sở Y tế tỉnh Vĩnh Long đã được Chủ tịch Ủy ban nhân dân tỉnh công bố tại Quyết định số 1507/QĐ-UBND ngày 17 tháng 6 năm 2020, Quyết định số 2403/QĐ-UBND ngày 23 tháng 10 năm 2023 </w:t>
      </w:r>
      <w:r>
        <w:rPr>
          <w:i/>
          <w:iCs/>
          <w:sz w:val="20"/>
        </w:rPr>
        <w:t>(Thủ tục hành chính thực hiện không phụ thuộc vào địa giới hành chính) (chi tiết tại Phụ lục kèm theo).</w:t>
      </w:r>
    </w:p>
    <w:p>
      <w:pPr>
        <w:pStyle w:val="Normal"/>
        <w:bidi w:val="0"/>
        <w:spacing w:before="0" w:after="120"/>
        <w:rPr/>
      </w:pPr>
      <w:r>
        <w:rPr>
          <w:b/>
          <w:bCs/>
          <w:sz w:val="20"/>
        </w:rPr>
        <w:t xml:space="preserve">Điều 2. </w:t>
      </w:r>
      <w:r>
        <w:rPr>
          <w:sz w:val="20"/>
        </w:rPr>
        <w:t>Hiệu lực và trách nhiệm thi hành</w:t>
      </w:r>
    </w:p>
    <w:p>
      <w:pPr>
        <w:pStyle w:val="Normal"/>
        <w:bidi w:val="0"/>
        <w:spacing w:before="0" w:after="120"/>
        <w:rPr>
          <w:sz w:val="20"/>
        </w:rPr>
      </w:pPr>
      <w:r>
        <w:rPr>
          <w:sz w:val="20"/>
        </w:rPr>
        <w:t>1. Quyết định có hiệu lực thi hành kể từ ngày ký ban hành và bãi bỏ</w:t>
      </w:r>
    </w:p>
    <w:p>
      <w:pPr>
        <w:pStyle w:val="Normal"/>
        <w:bidi w:val="0"/>
        <w:spacing w:before="0" w:after="120"/>
        <w:rPr>
          <w:sz w:val="20"/>
        </w:rPr>
      </w:pPr>
      <w:r>
        <w:rPr>
          <w:sz w:val="20"/>
        </w:rPr>
        <w:t>- 04 thủ tục hành chính cấp tỉnh trong lĩnh vực Mỹ phẩm: thủ tục số thứ tự số 02, 03, 04 Phần I Phụ lục kèm theo Quyết định số 1507/QĐ-UBND ngày 17 tháng 6 năm 2020 và thủ tục có số thứ tự số 23 Phần I Phụ lục kèm theo Quyết định số 2403/QĐ-UBND ngày 23 tháng 10 năm 2023 của Chủ tịch Ủy ban nhân dân tỉnh.</w:t>
      </w:r>
    </w:p>
    <w:p>
      <w:pPr>
        <w:pStyle w:val="Normal"/>
        <w:bidi w:val="0"/>
        <w:spacing w:before="0" w:after="120"/>
        <w:rPr>
          <w:sz w:val="20"/>
        </w:rPr>
      </w:pPr>
      <w:r>
        <w:rPr>
          <w:sz w:val="20"/>
        </w:rPr>
        <w:t>- 04 quy trình nội bộ tiếp nhận, giải quyết thủ tục hành chính cấp tỉnh trong lĩnh vực Mỹ phẩm: quy trình số thứ tự số 02, 03, 04 Phần I Phụ lục kèm theo Quyết định số 1541/QĐ-UBND ngày 19 tháng 6 năm 2020 và quy trình có số thứ tự số 01 Phần II Phụ lục kèm theo Quyết định số 2403/QĐ-UBND ngày 23 tháng 10 năm 2023 của Chủ tịch Ủy ban nhân dân tỉnh.</w:t>
      </w:r>
    </w:p>
    <w:p>
      <w:pPr>
        <w:pStyle w:val="Normal"/>
        <w:bidi w:val="0"/>
        <w:spacing w:before="0" w:after="120"/>
        <w:rPr>
          <w:sz w:val="20"/>
        </w:rPr>
      </w:pPr>
      <w:r>
        <w:rPr>
          <w:sz w:val="20"/>
        </w:rPr>
        <w:t>- 04 thủ tục hành chính cấp tỉnh có số thứ tự 1797, 1798, 1799, 1801 Phụ lục kèm theo Quyết định số 2411/QĐ-UBND ngày 04 tháng 11 năm 2025 của Chủ tịch Ủy ban nhân dân tỉnh về việc phê duyệt 100% thủ tục hành chính thực hiện không phụ thuộc vào địa giới hành chính trên địa bàn tỉnh Vĩnh Long.</w:t>
      </w:r>
    </w:p>
    <w:p>
      <w:pPr>
        <w:pStyle w:val="Normal"/>
        <w:bidi w:val="0"/>
        <w:spacing w:before="0" w:after="120"/>
        <w:rPr>
          <w:sz w:val="20"/>
        </w:rPr>
      </w:pPr>
      <w:r>
        <w:rPr>
          <w:sz w:val="20"/>
        </w:rPr>
        <w:t>2. Chánh Văn phòng Ủy ban nhân dân tỉnh; Giám đốc Sở Y tế; Giám đốc Sở Khoa học và Công nghệ; Thủ trưởng các sở, ban, ngành tỉnh; Chủ tịch Ủy ban nhân dân các xã, phường và tổ chức, cá nhân có liên quan chịu trách nhiệm thi hành Quyết định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3997"/>
        <w:gridCol w:w="4643"/>
      </w:tblGrid>
      <w:tr>
        <w:trPr/>
        <w:tc>
          <w:tcPr>
            <w:tcW w:w="3997" w:type="dxa"/>
            <w:tcBorders/>
          </w:tcPr>
          <w:p>
            <w:pPr>
              <w:pStyle w:val="Normal"/>
              <w:bidi w:val="0"/>
              <w:spacing w:before="0" w:after="120"/>
              <w:rPr>
                <w:sz w:val="16"/>
              </w:rPr>
            </w:pPr>
            <w:r>
              <w:rPr>
                <w:sz w:val="16"/>
              </w:rPr>
              <w:t> </w:t>
            </w:r>
          </w:p>
          <w:p>
            <w:pPr>
              <w:pStyle w:val="Normal"/>
              <w:bidi w:val="0"/>
              <w:spacing w:before="0" w:after="0"/>
              <w:rPr/>
            </w:pPr>
            <w:r>
              <w:rPr>
                <w:b/>
                <w:bCs/>
                <w:i/>
                <w:iCs/>
                <w:sz w:val="20"/>
              </w:rPr>
              <w:t>Nơi nhận:</w:t>
              <w:br/>
            </w:r>
            <w:r>
              <w:rPr>
                <w:sz w:val="16"/>
              </w:rPr>
              <w:t>- Như Điều 2;</w:t>
              <w:br/>
              <w:t>- Cục KSTTHC, BTP;</w:t>
              <w:br/>
              <w:t>- CT, các PCT. UBND tỉnh;</w:t>
              <w:br/>
              <w:t>- Lãnh đạo VP. UBND tỉnh;</w:t>
              <w:br/>
              <w:t>- TTPVHCC, Phòng KG-VX;</w:t>
              <w:br/>
              <w:t>- Lưu: VT, 06.PVHCC.</w:t>
            </w:r>
          </w:p>
        </w:tc>
        <w:tc>
          <w:tcPr>
            <w:tcW w:w="4643" w:type="dxa"/>
            <w:tcBorders/>
          </w:tcPr>
          <w:p>
            <w:pPr>
              <w:pStyle w:val="Normal"/>
              <w:bidi w:val="0"/>
              <w:spacing w:before="0" w:after="0"/>
              <w:jc w:val="center"/>
              <w:rPr/>
            </w:pPr>
            <w:r>
              <w:rPr>
                <w:b/>
                <w:bCs/>
                <w:sz w:val="20"/>
              </w:rPr>
              <w:t>KT. CHỦ TỊCH</w:t>
              <w:br/>
              <w:t>PHÓ CHỦ TỊCH</w:t>
            </w:r>
            <w:r>
              <w:rPr>
                <w:sz w:val="20"/>
              </w:rPr>
              <w:br/>
              <w:br/>
              <w:br/>
              <w:br/>
              <w:br/>
            </w:r>
            <w:r>
              <w:rPr>
                <w:b/>
                <w:bCs/>
                <w:sz w:val="20"/>
              </w:rPr>
              <w:t>Nguyễn Quỳnh Thiện</w:t>
            </w:r>
          </w:p>
        </w:tc>
      </w:tr>
    </w:tbl>
    <w:p>
      <w:pPr>
        <w:pStyle w:val="Normal"/>
        <w:bidi w:val="0"/>
        <w:spacing w:before="0" w:after="120"/>
        <w:rPr>
          <w:sz w:val="20"/>
        </w:rPr>
      </w:pPr>
      <w:r>
        <w:rPr>
          <w:sz w:val="20"/>
        </w:rPr>
        <w:t> </w:t>
      </w:r>
    </w:p>
    <w:p>
      <w:pPr>
        <w:pStyle w:val="Normal"/>
        <w:bidi w:val="0"/>
        <w:spacing w:before="0" w:after="120"/>
        <w:jc w:val="center"/>
        <w:rPr>
          <w:b/>
          <w:bCs/>
          <w:sz w:val="20"/>
        </w:rPr>
      </w:pPr>
      <w:r>
        <w:rPr>
          <w:b/>
          <w:bCs/>
          <w:sz w:val="20"/>
        </w:rPr>
        <w:t>Phụ lục</w:t>
      </w:r>
    </w:p>
    <w:p>
      <w:pPr>
        <w:pStyle w:val="Normal"/>
        <w:bidi w:val="0"/>
        <w:spacing w:before="0" w:after="120"/>
        <w:jc w:val="center"/>
        <w:rPr>
          <w:i/>
          <w:iCs/>
          <w:sz w:val="20"/>
        </w:rPr>
      </w:pPr>
      <w:r>
        <w:rPr>
          <w:i/>
          <w:iCs/>
          <w:sz w:val="20"/>
        </w:rPr>
        <w:t>(Kèm theo Quyết định số 1552/QĐ-UBND ngày 13 tháng 3 năm 2026 của Chủ tịch Ủy ban nhân dân tỉnh Vĩnh Long)</w:t>
      </w:r>
    </w:p>
    <w:tbl>
      <w:tblPr>
        <w:tblW w:w="5000" w:type="pct"/>
        <w:jc w:val="start"/>
        <w:tblInd w:w="0" w:type="dxa"/>
        <w:tblLayout w:type="fixed"/>
        <w:tblCellMar>
          <w:top w:w="28" w:type="dxa"/>
          <w:start w:w="108" w:type="dxa"/>
          <w:bottom w:w="28" w:type="dxa"/>
          <w:end w:w="108" w:type="dxa"/>
        </w:tblCellMar>
      </w:tblPr>
      <w:tblGrid>
        <w:gridCol w:w="1060"/>
        <w:gridCol w:w="1599"/>
        <w:gridCol w:w="3306"/>
        <w:gridCol w:w="4005"/>
        <w:gridCol w:w="2"/>
      </w:tblGrid>
      <w:tr>
        <w:trPr/>
        <w:tc>
          <w:tcPr>
            <w:tcW w:w="106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STT</w:t>
            </w:r>
          </w:p>
        </w:tc>
        <w:tc>
          <w:tcPr>
            <w:tcW w:w="1599"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Mã thủ tục hành chính</w:t>
            </w:r>
          </w:p>
        </w:tc>
        <w:tc>
          <w:tcPr>
            <w:tcW w:w="3306"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thủ tục hành chính</w:t>
            </w:r>
          </w:p>
        </w:tc>
        <w:tc>
          <w:tcPr>
            <w:tcW w:w="4005"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văn bản quy phạm pháp luật quy định việc bãi bỏ thủ tục hành chính</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rPr>
                <w:sz w:val="20"/>
              </w:rPr>
            </w:pPr>
            <w:r>
              <w:rPr>
                <w:sz w:val="20"/>
              </w:rPr>
              <w:t> </w:t>
            </w:r>
          </w:p>
        </w:tc>
        <w:tc>
          <w:tcPr>
            <w:tcW w:w="8912" w:type="dxa"/>
            <w:gridSpan w:val="3"/>
            <w:tcBorders>
              <w:bottom w:val="single" w:sz="8" w:space="0" w:color="000000"/>
              <w:end w:val="single" w:sz="8" w:space="0" w:color="000000"/>
            </w:tcBorders>
          </w:tcPr>
          <w:p>
            <w:pPr>
              <w:pStyle w:val="Normal"/>
              <w:bidi w:val="0"/>
              <w:snapToGrid w:val="false"/>
              <w:spacing w:before="0" w:after="0"/>
              <w:rPr/>
            </w:pPr>
            <w:r>
              <w:rPr>
                <w:b/>
                <w:bCs/>
                <w:sz w:val="20"/>
              </w:rPr>
              <w:t>THỦ TỤC HÀNH CHÍNH CẤP TỈNHTHỦ TỤC HÀNH CHÍNH CẤP TỈNHTHỦ TỤC HÀNH CHÍNH CẤP TỈNH</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rPr>
                <w:sz w:val="20"/>
              </w:rPr>
            </w:pPr>
            <w:r>
              <w:rPr>
                <w:sz w:val="20"/>
              </w:rPr>
              <w:t> </w:t>
            </w:r>
          </w:p>
        </w:tc>
        <w:tc>
          <w:tcPr>
            <w:tcW w:w="8912" w:type="dxa"/>
            <w:gridSpan w:val="3"/>
            <w:tcBorders>
              <w:bottom w:val="single" w:sz="8" w:space="0" w:color="000000"/>
              <w:end w:val="single" w:sz="8" w:space="0" w:color="000000"/>
            </w:tcBorders>
          </w:tcPr>
          <w:p>
            <w:pPr>
              <w:pStyle w:val="Normal"/>
              <w:bidi w:val="0"/>
              <w:snapToGrid w:val="false"/>
              <w:spacing w:before="0" w:after="0"/>
              <w:rPr/>
            </w:pPr>
            <w:r>
              <w:rPr>
                <w:b/>
                <w:bCs/>
                <w:sz w:val="20"/>
              </w:rPr>
              <w:t>LĨNH VỰC MỸ PHẨMLĨNH VỰC MỸ PHẨMLĨNH VỰC MỸ PHẨM</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1599" w:type="dxa"/>
            <w:tcBorders>
              <w:bottom w:val="single" w:sz="8" w:space="0" w:color="000000"/>
              <w:end w:val="single" w:sz="8" w:space="0" w:color="000000"/>
            </w:tcBorders>
          </w:tcPr>
          <w:p>
            <w:pPr>
              <w:pStyle w:val="Normal"/>
              <w:bidi w:val="0"/>
              <w:spacing w:before="0" w:after="0"/>
              <w:rPr>
                <w:sz w:val="20"/>
              </w:rPr>
            </w:pPr>
            <w:r>
              <w:rPr>
                <w:sz w:val="20"/>
              </w:rPr>
              <w:t>1.002483.H61</w:t>
            </w:r>
          </w:p>
        </w:tc>
        <w:tc>
          <w:tcPr>
            <w:tcW w:w="3306" w:type="dxa"/>
            <w:tcBorders>
              <w:bottom w:val="single" w:sz="8" w:space="0" w:color="000000"/>
              <w:end w:val="single" w:sz="8" w:space="0" w:color="000000"/>
            </w:tcBorders>
          </w:tcPr>
          <w:p>
            <w:pPr>
              <w:pStyle w:val="Normal"/>
              <w:bidi w:val="0"/>
              <w:spacing w:before="0" w:after="0"/>
              <w:rPr>
                <w:sz w:val="20"/>
              </w:rPr>
            </w:pPr>
            <w:r>
              <w:rPr>
                <w:sz w:val="20"/>
              </w:rPr>
              <w:t>Cấp giấy xác nhận nội dung quảng cáo mỹ phẩm</w:t>
            </w:r>
          </w:p>
        </w:tc>
        <w:tc>
          <w:tcPr>
            <w:tcW w:w="4005"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1599" w:type="dxa"/>
            <w:tcBorders>
              <w:bottom w:val="single" w:sz="8" w:space="0" w:color="000000"/>
              <w:end w:val="single" w:sz="8" w:space="0" w:color="000000"/>
            </w:tcBorders>
          </w:tcPr>
          <w:p>
            <w:pPr>
              <w:pStyle w:val="Normal"/>
              <w:bidi w:val="0"/>
              <w:spacing w:before="0" w:after="0"/>
              <w:rPr>
                <w:sz w:val="20"/>
              </w:rPr>
            </w:pPr>
            <w:r>
              <w:rPr>
                <w:sz w:val="20"/>
              </w:rPr>
              <w:t>1.000990.H61</w:t>
            </w:r>
          </w:p>
        </w:tc>
        <w:tc>
          <w:tcPr>
            <w:tcW w:w="3306"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mỹ phẩm trong trường hợp bị mất hoặc hư hỏng</w:t>
            </w:r>
          </w:p>
        </w:tc>
        <w:tc>
          <w:tcPr>
            <w:tcW w:w="4005"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1599" w:type="dxa"/>
            <w:tcBorders>
              <w:bottom w:val="single" w:sz="8" w:space="0" w:color="000000"/>
              <w:end w:val="single" w:sz="8" w:space="0" w:color="000000"/>
            </w:tcBorders>
          </w:tcPr>
          <w:p>
            <w:pPr>
              <w:pStyle w:val="Normal"/>
              <w:bidi w:val="0"/>
              <w:spacing w:before="0" w:after="0"/>
              <w:rPr>
                <w:sz w:val="20"/>
              </w:rPr>
            </w:pPr>
            <w:r>
              <w:rPr>
                <w:sz w:val="20"/>
              </w:rPr>
              <w:t>1.000793.H61</w:t>
            </w:r>
          </w:p>
        </w:tc>
        <w:tc>
          <w:tcPr>
            <w:tcW w:w="3306"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mỹ phẩm trong trường hợp hết hiệu lực tại khoản 2 Điều 21 Thông tư số 09/2015/TT- BYT</w:t>
            </w:r>
          </w:p>
        </w:tc>
        <w:tc>
          <w:tcPr>
            <w:tcW w:w="4005"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r>
      <w:tr>
        <w:trPr/>
        <w:tc>
          <w:tcPr>
            <w:tcW w:w="106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1599" w:type="dxa"/>
            <w:tcBorders>
              <w:bottom w:val="single" w:sz="8" w:space="0" w:color="000000"/>
              <w:end w:val="single" w:sz="8" w:space="0" w:color="000000"/>
            </w:tcBorders>
          </w:tcPr>
          <w:p>
            <w:pPr>
              <w:pStyle w:val="Normal"/>
              <w:bidi w:val="0"/>
              <w:spacing w:before="0" w:after="0"/>
              <w:rPr>
                <w:sz w:val="20"/>
              </w:rPr>
            </w:pPr>
            <w:r>
              <w:rPr>
                <w:sz w:val="20"/>
              </w:rPr>
              <w:t>1.000662.H61</w:t>
            </w:r>
          </w:p>
        </w:tc>
        <w:tc>
          <w:tcPr>
            <w:tcW w:w="3306"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mỹ phẩm khi có thay đổi về tên, địa chỉ của tổ chức, cá nhân chịu trách nhiệm và không thay đổi nội dung quảng cáo</w:t>
            </w:r>
          </w:p>
        </w:tc>
        <w:tc>
          <w:tcPr>
            <w:tcW w:w="4005"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r>
    </w:tbl>
    <w:p>
      <w:pPr>
        <w:pStyle w:val="Normal"/>
        <w:bidi w:val="0"/>
        <w:spacing w:before="0" w:after="120"/>
        <w:rPr>
          <w:sz w:val="20"/>
        </w:rPr>
      </w:pPr>
      <w:r>
        <w:rPr>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