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 xml:space="preserve">BỘ KHOA HỌC VÀ </w:t>
              <w:br/>
              <w:t>CÔNG NGHỆ</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1767/QĐ-BKHCN</w:t>
            </w:r>
          </w:p>
        </w:tc>
        <w:tc>
          <w:tcPr>
            <w:tcW w:w="6607" w:type="dxa"/>
            <w:tcBorders/>
          </w:tcPr>
          <w:p>
            <w:pPr>
              <w:pStyle w:val="Normal"/>
              <w:bidi w:val="0"/>
              <w:spacing w:before="120" w:after="0"/>
              <w:jc w:val="end"/>
              <w:rPr/>
            </w:pPr>
            <w:r>
              <w:rPr>
                <w:i/>
                <w:iCs/>
              </w:rPr>
              <w:t>Hà Nội, ngày 14 tháng 3 năm 2026</w:t>
            </w:r>
          </w:p>
        </w:tc>
      </w:tr>
    </w:tbl>
    <w:p>
      <w:pPr>
        <w:pStyle w:val="Normal"/>
        <w:bidi w:val="0"/>
        <w:spacing w:before="120" w:after="280"/>
        <w:jc w:val="center"/>
        <w:rPr>
          <w:b/>
          <w:bCs/>
        </w:rPr>
      </w:pPr>
      <w:r>
        <w:rPr>
          <w:b/>
          <w:bCs/>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BÃI BỎ CÁC QUYẾT ĐỊNH DO BỘ TRƯỞNG BỘ KHOA HỌC VÀ CÔNG NGHỆ BAN HÀNH</w:t>
      </w:r>
      <w:bookmarkEnd w:id="1"/>
    </w:p>
    <w:p>
      <w:pPr>
        <w:pStyle w:val="Normal"/>
        <w:bidi w:val="0"/>
        <w:spacing w:before="120" w:after="280"/>
        <w:jc w:val="center"/>
        <w:rPr>
          <w:b/>
          <w:bCs/>
          <w:sz w:val="24"/>
        </w:rPr>
      </w:pPr>
      <w:r>
        <w:rPr>
          <w:b/>
          <w:bCs/>
          <w:sz w:val="24"/>
        </w:rPr>
        <w:t>BỘ TRƯỞNG BỘ KHOA HỌC VÀ CÔNG NGHỆ</w:t>
      </w:r>
    </w:p>
    <w:p>
      <w:pPr>
        <w:pStyle w:val="Normal"/>
        <w:bidi w:val="0"/>
        <w:spacing w:before="120" w:after="280"/>
        <w:rPr>
          <w:i/>
          <w:iCs/>
        </w:rPr>
      </w:pPr>
      <w:r>
        <w:rPr>
          <w:i/>
          <w:iCs/>
        </w:rPr>
        <w:t>Căn cứ Luật Ban hành văn bản quy phạm pháp luật năm 2025; Luật sửa đổi, bổ sung một số điều của Luật Ban hành văn bản quy phạm pháp luật ngày 25 tháng 6 năm 2025;</w:t>
      </w:r>
    </w:p>
    <w:p>
      <w:pPr>
        <w:pStyle w:val="Normal"/>
        <w:bidi w:val="0"/>
        <w:spacing w:before="120" w:after="280"/>
        <w:rPr>
          <w:i/>
          <w:iCs/>
        </w:rPr>
      </w:pPr>
      <w:r>
        <w:rPr>
          <w:i/>
          <w:iCs/>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w:t>
      </w:r>
    </w:p>
    <w:p>
      <w:pPr>
        <w:pStyle w:val="Normal"/>
        <w:bidi w:val="0"/>
        <w:spacing w:before="120" w:after="280"/>
        <w:rPr>
          <w:i/>
          <w:iCs/>
        </w:rPr>
      </w:pPr>
      <w:r>
        <w:rPr>
          <w:i/>
          <w:iCs/>
        </w:rPr>
        <w:t>Căn cứ Nghị định số 79/2025/NĐ-CP ngày 01 tháng 4 năm 2025 của Chính phủ về kiểm tra, rà soát, hệ thống hóa và xử lý văn bản quy phạm pháp luật, được sửa đổi, bổ sung bởi Nghị định số 187/2025/NĐ-CP ngày 01 tháng 7 năm 2025 của Chính phủ;</w:t>
      </w:r>
    </w:p>
    <w:p>
      <w:pPr>
        <w:pStyle w:val="Normal"/>
        <w:bidi w:val="0"/>
        <w:spacing w:before="120" w:after="280"/>
        <w:rPr>
          <w:i/>
          <w:iCs/>
        </w:rPr>
      </w:pPr>
      <w:r>
        <w:rPr>
          <w:i/>
          <w:iCs/>
        </w:rPr>
        <w:t>Căn cứ Nghị định số 55/2025/NĐ-CP ngày 02 tháng 3 năm 2025 của Chính phủ quy định chức năng, nhiệm vụ, quyền hạn và cơ cấu tổ chức của Bộ Khoa học và Công nghệ;</w:t>
      </w:r>
    </w:p>
    <w:p>
      <w:pPr>
        <w:pStyle w:val="Normal"/>
        <w:bidi w:val="0"/>
        <w:spacing w:before="120" w:after="280"/>
        <w:rPr>
          <w:i/>
          <w:iCs/>
        </w:rPr>
      </w:pPr>
      <w:r>
        <w:rPr>
          <w:i/>
          <w:iCs/>
        </w:rPr>
        <w:t>Thực hiện Kết luận số 7683/KL-ĐKTLN ngày 25 tháng 11 năm 2025 của Đoàn Kiểm tra liên ngành của Bộ Tư pháp kết luận công tác kiểm tra, rà soát, hệ thống hóa văn bản quy phạm pháp luật tại Bộ Khoa học và Công nghệ;</w:t>
      </w:r>
    </w:p>
    <w:p>
      <w:pPr>
        <w:pStyle w:val="Normal"/>
        <w:bidi w:val="0"/>
        <w:spacing w:before="120" w:after="280"/>
        <w:rPr>
          <w:i/>
          <w:iCs/>
        </w:rPr>
      </w:pPr>
      <w:r>
        <w:rPr>
          <w:i/>
          <w:iCs/>
        </w:rPr>
        <w:t>Theo đề nghị của Chủ tịch Ủy ban Tiêu chuẩn Đo lường Chất lượng Quốc gia.</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 xml:space="preserve">Điều 1. </w:t>
      </w:r>
      <w:r>
        <w:rPr/>
        <w:t>Bãi bỏ các Quyết định do Bộ trưởng Bộ Khoa học và Công nghệ ban hành sau đây:</w:t>
      </w:r>
      <w:bookmarkEnd w:id="2"/>
    </w:p>
    <w:p>
      <w:pPr>
        <w:pStyle w:val="Normal"/>
        <w:bidi w:val="0"/>
        <w:spacing w:before="120" w:after="280"/>
        <w:rPr/>
      </w:pPr>
      <w:r>
        <w:rPr/>
        <w:t>1. Quyết định số 1550/QĐ-BKHCN ngày 25 tháng 6 năm 2014 của Bộ trưởng Bộ Khoa học và Công nghệ về việc đính chính Thông tư số 22/2013/TT-BKHCN ngày 26 tháng 9 năm 2013 của Bộ trưởng Bộ Khoa học và Công nghệ quy định về quản lý đo lường trong kinh doanh vàng và quản lý chất lượng vàng trang sức, mỹ nghệ lưu thông trên thị trường.</w:t>
      </w:r>
    </w:p>
    <w:p>
      <w:pPr>
        <w:pStyle w:val="Normal"/>
        <w:bidi w:val="0"/>
        <w:spacing w:before="120" w:after="280"/>
        <w:rPr/>
      </w:pPr>
      <w:r>
        <w:rPr/>
        <w:t>2. Quyết định số 1382/QĐ-BKHCN ngày 22 tháng 5 năm 2020 của Bộ trưởng Bộ Khoa học và Công nghệ đính chính Quy chuẩn kỹ thuật quốc gia QCVN 03:2019/BKHCN về an toàn đồ chơi trẻ em.</w:t>
      </w:r>
    </w:p>
    <w:p>
      <w:pPr>
        <w:pStyle w:val="Normal"/>
        <w:bidi w:val="0"/>
        <w:spacing w:before="120" w:after="280"/>
        <w:rPr/>
      </w:pPr>
      <w:r>
        <w:rPr/>
        <w:t>3. Quyết định số 1383/QĐ-BKHCN ngày 22 tháng 5 năm 2020 của Bộ trưởng Bộ Khoa học và Công nghệ đính chính Quy chuẩn kỹ thuật quốc gia QCVN 19:2019/BKHCN về sản phẩm chiếu sáng bằng công nghệ LED.</w:t>
      </w:r>
    </w:p>
    <w:p>
      <w:pPr>
        <w:pStyle w:val="Normal"/>
        <w:bidi w:val="0"/>
        <w:spacing w:before="120" w:after="280"/>
        <w:rPr/>
      </w:pPr>
      <w:r>
        <w:rPr/>
        <w:t>4. Quyết định số 790/QĐ-BKHCN ngày 07 tháng 5 năm 2024 của Bộ trưởng Bộ Khoa học và Công nghệ về việc đính chính Thông tư số 03/2024/TT-BKHCN ngày 15 tháng 4 năm 2024 của Bộ trưởng Bộ Khoa học và Công nghệ sửa đổi, bổ sung một số điều của Thông tư số 23/2013/TT-BKHCN ngày 26 tháng 9 năm 2013 của Bộ trưởng Bộ Khoa học và Công nghệ quy định về đo lường đối với phương tiện đo nhóm 2 đã được sửa đổi, bổ sung bởi Thông tư số 07/2019/TT-BKHCN ngày 26 tháng 7 năm 2019 của Bộ trưởng Bộ Khoa học và Công nghệ.</w:t>
      </w:r>
    </w:p>
    <w:p>
      <w:pPr>
        <w:pStyle w:val="Normal"/>
        <w:bidi w:val="0"/>
        <w:spacing w:before="120" w:after="280"/>
        <w:rPr/>
      </w:pPr>
      <w:bookmarkStart w:id="3" w:name="dieu_2"/>
      <w:r>
        <w:rPr>
          <w:b/>
          <w:bCs/>
        </w:rPr>
        <w:t xml:space="preserve">Điều 2. </w:t>
      </w:r>
      <w:r>
        <w:rPr/>
        <w:t>Quyết định này có hiệu lực thi hành kể từ ngày 15 tháng 4 năm 2026.</w:t>
      </w:r>
      <w:bookmarkEnd w:id="3"/>
    </w:p>
    <w:p>
      <w:pPr>
        <w:pStyle w:val="Normal"/>
        <w:bidi w:val="0"/>
        <w:spacing w:before="120" w:after="280"/>
        <w:rPr/>
      </w:pPr>
      <w:bookmarkStart w:id="4" w:name="dieu_3"/>
      <w:r>
        <w:rPr>
          <w:b/>
          <w:bCs/>
        </w:rPr>
        <w:t xml:space="preserve">Điều 3. </w:t>
      </w:r>
      <w:r>
        <w:rPr/>
        <w:t>Chánh Văn phòng, Chủ tịch Ủy ban Tiêu chuẩn Đo lường Chất lượng Quốc gia, Thủ trưởng các cơ quan, đơn vị thuộc Bộ Khoa học và Công nghệ và các cơ quan, đơn vị có liên quan chịu trách nhiệm thi hành Quyết định này./.</w:t>
      </w:r>
      <w:bookmarkEnd w:id="4"/>
    </w:p>
    <w:p>
      <w:pPr>
        <w:pStyle w:val="Normal"/>
        <w:bidi w:val="0"/>
        <w:spacing w:before="120" w:after="280"/>
        <w:rPr>
          <w:b/>
          <w:bCs/>
          <w:i/>
          <w:iCs/>
        </w:rPr>
      </w:pPr>
      <w:r>
        <w:rPr>
          <w:b/>
          <w:bCs/>
          <w:i/>
          <w:iCs/>
        </w:rPr>
        <w:t> </w:t>
      </w:r>
    </w:p>
    <w:tbl>
      <w:tblPr>
        <w:tblW w:w="5000" w:type="pct"/>
        <w:jc w:val="start"/>
        <w:tblInd w:w="0" w:type="dxa"/>
        <w:tblLayout w:type="fixed"/>
        <w:tblCellMar>
          <w:top w:w="0" w:type="dxa"/>
          <w:start w:w="108" w:type="dxa"/>
          <w:bottom w:w="0" w:type="dxa"/>
          <w:end w:w="108" w:type="dxa"/>
        </w:tblCellMar>
      </w:tblPr>
      <w:tblGrid>
        <w:gridCol w:w="5407"/>
        <w:gridCol w:w="4565"/>
      </w:tblGrid>
      <w:tr>
        <w:trPr/>
        <w:tc>
          <w:tcPr>
            <w:tcW w:w="5407" w:type="dxa"/>
            <w:tcBorders/>
          </w:tcPr>
          <w:p>
            <w:pPr>
              <w:pStyle w:val="Normal"/>
              <w:bidi w:val="0"/>
              <w:spacing w:before="120" w:after="0"/>
              <w:rPr/>
            </w:pPr>
            <w:r>
              <w:rPr>
                <w:b/>
                <w:bCs/>
                <w:i/>
                <w:iCs/>
              </w:rPr>
              <w:br/>
              <w:t>Nơi nhận:</w:t>
              <w:br/>
            </w:r>
            <w:r>
              <w:rPr/>
              <w:t>- Như Điều 3;</w:t>
              <w:br/>
              <w:t>- Thủ tướng Chính phủ (để b/c);</w:t>
              <w:br/>
              <w:t>- Các Phó Thủ tướng Chính phủ (để b/c);</w:t>
              <w:br/>
              <w:t>- Bộ trưởng Bộ KH&amp;CN;</w:t>
              <w:br/>
              <w:t>- Các Thứ trưởng Bộ KH&amp;CN (để biết);</w:t>
              <w:br/>
              <w:t>- Các Bộ, cơ quan ngang Bộ, cơ quan thuộc Chính phủ;</w:t>
              <w:br/>
              <w:t>- Ủy ban nhân dân các tỉnh, thành phố trực thuộc Trung ương;</w:t>
              <w:br/>
              <w:t>- Văn phòng Trung ương Đảng;</w:t>
              <w:br/>
              <w:t>- Văn phòng Chủ tịch nước;</w:t>
              <w:br/>
              <w:t>- Văn phòng Quốc hội;</w:t>
              <w:br/>
              <w:t>- Văn phòng Chính phủ;</w:t>
              <w:br/>
              <w:t>- Toà án nhân dân tối cao;</w:t>
              <w:br/>
              <w:t>- Viện kiểm sát nhân dân tối cao;</w:t>
              <w:br/>
              <w:t>- Cổng Thông tin điện tử Chính phủ (để đăng tải);</w:t>
              <w:br/>
              <w:t>- Công báo (để đăng tải);</w:t>
              <w:br/>
              <w:t>- Cổng Thông tin điện tử Bộ KH&amp;CN (để đăng tải);</w:t>
              <w:br/>
              <w:t>- Cục Kiểm tra văn bản và Tổ chức thi hành pháp luật;</w:t>
              <w:br/>
              <w:t>- CSDL Quốc gia về VBQPPL (để đăng tải);</w:t>
              <w:br/>
              <w:t>- Lưu: VT, TĐC.</w:t>
            </w:r>
          </w:p>
        </w:tc>
        <w:tc>
          <w:tcPr>
            <w:tcW w:w="4565" w:type="dxa"/>
            <w:tcBorders/>
          </w:tcPr>
          <w:p>
            <w:pPr>
              <w:pStyle w:val="Normal"/>
              <w:bidi w:val="0"/>
              <w:spacing w:before="120" w:after="0"/>
              <w:jc w:val="center"/>
              <w:rPr>
                <w:b/>
                <w:bCs/>
              </w:rPr>
            </w:pPr>
            <w:r>
              <w:rPr>
                <w:b/>
                <w:bCs/>
              </w:rPr>
              <w:t>BỘ TRƯỞNG</w:t>
              <w:br/>
              <w:br/>
              <w:br/>
              <w:br/>
              <w:br/>
              <w:t>Nguyễn Mạnh Hùng</w:t>
            </w:r>
          </w:p>
        </w:tc>
      </w:tr>
    </w:tbl>
    <w:p>
      <w:pPr>
        <w:pStyle w:val="Normal"/>
        <w:bidi w:val="0"/>
        <w:spacing w:before="120" w:after="280"/>
        <w:rPr/>
      </w:pPr>
      <w:r>
        <w:rPr/>
        <w:t> </w:t>
      </w:r>
    </w:p>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